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F21" w:rsidRPr="00605319" w:rsidRDefault="00670F21" w:rsidP="00670F21">
      <w:pPr>
        <w:jc w:val="center"/>
        <w:outlineLvl w:val="0"/>
        <w:rPr>
          <w:rFonts w:ascii="Arial" w:hAnsi="Arial" w:cs="Arial"/>
          <w:b/>
        </w:rPr>
      </w:pPr>
      <w:r w:rsidRPr="00605319">
        <w:rPr>
          <w:rFonts w:ascii="Arial" w:hAnsi="Arial" w:cs="Arial"/>
          <w:b/>
        </w:rPr>
        <w:t>Standard Development Roadmap</w:t>
      </w:r>
    </w:p>
    <w:p w:rsidR="00670F21" w:rsidRPr="003D11B8" w:rsidRDefault="00670F21" w:rsidP="00670F21">
      <w:pPr>
        <w:rPr>
          <w:b/>
          <w:szCs w:val="22"/>
        </w:rPr>
      </w:pPr>
      <w:r w:rsidRPr="003D11B8">
        <w:rPr>
          <w:i/>
          <w:szCs w:val="22"/>
        </w:rPr>
        <w:t>This section is maintained by the drafting team during the development of the standard and will be removed when the standard becomes effective.</w:t>
      </w:r>
    </w:p>
    <w:p w:rsidR="00670F21" w:rsidRPr="003D11B8" w:rsidRDefault="00670F21" w:rsidP="00670F21">
      <w:pPr>
        <w:outlineLvl w:val="0"/>
        <w:rPr>
          <w:b/>
          <w:szCs w:val="22"/>
        </w:rPr>
      </w:pPr>
      <w:r w:rsidRPr="003D11B8">
        <w:rPr>
          <w:b/>
          <w:szCs w:val="22"/>
        </w:rPr>
        <w:t>Development Steps Completed:</w:t>
      </w:r>
    </w:p>
    <w:p w:rsidR="00E5716C" w:rsidRDefault="00FA6CDF" w:rsidP="00670F21">
      <w:pPr>
        <w:numPr>
          <w:ilvl w:val="0"/>
          <w:numId w:val="7"/>
        </w:numPr>
        <w:rPr>
          <w:szCs w:val="22"/>
        </w:rPr>
      </w:pPr>
      <w:r>
        <w:rPr>
          <w:szCs w:val="22"/>
        </w:rPr>
        <w:t xml:space="preserve">The </w:t>
      </w:r>
      <w:r w:rsidR="00E5716C">
        <w:rPr>
          <w:szCs w:val="22"/>
        </w:rPr>
        <w:t>Standards Commit</w:t>
      </w:r>
      <w:r w:rsidR="00C71604">
        <w:rPr>
          <w:szCs w:val="22"/>
        </w:rPr>
        <w:t>tee approve</w:t>
      </w:r>
      <w:r>
        <w:rPr>
          <w:szCs w:val="22"/>
        </w:rPr>
        <w:t>d the</w:t>
      </w:r>
      <w:r w:rsidR="00C71604">
        <w:rPr>
          <w:szCs w:val="22"/>
        </w:rPr>
        <w:t xml:space="preserve"> SAR for posting on </w:t>
      </w:r>
    </w:p>
    <w:p w:rsidR="00C71604" w:rsidRDefault="00FA6CDF" w:rsidP="00C71604">
      <w:pPr>
        <w:numPr>
          <w:ilvl w:val="0"/>
          <w:numId w:val="7"/>
        </w:numPr>
        <w:rPr>
          <w:szCs w:val="22"/>
        </w:rPr>
      </w:pPr>
      <w:r>
        <w:rPr>
          <w:szCs w:val="22"/>
        </w:rPr>
        <w:t>The SAR was</w:t>
      </w:r>
      <w:r w:rsidR="00C71604">
        <w:rPr>
          <w:szCs w:val="22"/>
        </w:rPr>
        <w:t xml:space="preserve"> posted for </w:t>
      </w:r>
      <w:r>
        <w:rPr>
          <w:szCs w:val="22"/>
        </w:rPr>
        <w:t xml:space="preserve">industry </w:t>
      </w:r>
      <w:r w:rsidR="00C71604">
        <w:rPr>
          <w:szCs w:val="22"/>
        </w:rPr>
        <w:t xml:space="preserve">comment </w:t>
      </w:r>
      <w:r w:rsidR="009D7382">
        <w:rPr>
          <w:szCs w:val="22"/>
        </w:rPr>
        <w:t>from</w:t>
      </w:r>
      <w:r w:rsidR="00C71604">
        <w:rPr>
          <w:szCs w:val="22"/>
        </w:rPr>
        <w:t xml:space="preserve"> </w:t>
      </w:r>
    </w:p>
    <w:p w:rsidR="007F29C1" w:rsidRDefault="00FA6CDF" w:rsidP="00670F21">
      <w:pPr>
        <w:numPr>
          <w:ilvl w:val="0"/>
          <w:numId w:val="7"/>
        </w:numPr>
        <w:rPr>
          <w:szCs w:val="22"/>
        </w:rPr>
      </w:pPr>
      <w:r>
        <w:rPr>
          <w:szCs w:val="22"/>
        </w:rPr>
        <w:t xml:space="preserve">Reply </w:t>
      </w:r>
      <w:r w:rsidR="00C71604">
        <w:rPr>
          <w:szCs w:val="22"/>
        </w:rPr>
        <w:t>comments</w:t>
      </w:r>
      <w:r>
        <w:rPr>
          <w:szCs w:val="22"/>
        </w:rPr>
        <w:t xml:space="preserve"> and a revised SAR were</w:t>
      </w:r>
      <w:r w:rsidR="00C71604">
        <w:rPr>
          <w:szCs w:val="22"/>
        </w:rPr>
        <w:t xml:space="preserve"> post</w:t>
      </w:r>
      <w:r>
        <w:rPr>
          <w:szCs w:val="22"/>
        </w:rPr>
        <w:t>ed</w:t>
      </w:r>
      <w:r w:rsidR="00C71604">
        <w:rPr>
          <w:szCs w:val="22"/>
        </w:rPr>
        <w:t xml:space="preserve"> for </w:t>
      </w:r>
      <w:r>
        <w:rPr>
          <w:szCs w:val="22"/>
        </w:rPr>
        <w:t xml:space="preserve">a second industry </w:t>
      </w:r>
      <w:r w:rsidR="00C71604">
        <w:rPr>
          <w:szCs w:val="22"/>
        </w:rPr>
        <w:t>comment</w:t>
      </w:r>
      <w:r>
        <w:rPr>
          <w:szCs w:val="22"/>
        </w:rPr>
        <w:t xml:space="preserve"> period</w:t>
      </w:r>
      <w:r w:rsidR="00C71604">
        <w:rPr>
          <w:szCs w:val="22"/>
        </w:rPr>
        <w:t xml:space="preserve"> </w:t>
      </w:r>
      <w:r w:rsidR="00281B79">
        <w:rPr>
          <w:szCs w:val="22"/>
        </w:rPr>
        <w:t>from</w:t>
      </w:r>
      <w:r w:rsidR="00C71604">
        <w:rPr>
          <w:szCs w:val="22"/>
        </w:rPr>
        <w:t xml:space="preserve"> </w:t>
      </w:r>
    </w:p>
    <w:p w:rsidR="00C71604" w:rsidRDefault="00C71604" w:rsidP="00670F21">
      <w:pPr>
        <w:numPr>
          <w:ilvl w:val="0"/>
          <w:numId w:val="7"/>
        </w:numPr>
        <w:rPr>
          <w:szCs w:val="22"/>
        </w:rPr>
      </w:pPr>
      <w:r>
        <w:rPr>
          <w:szCs w:val="22"/>
        </w:rPr>
        <w:t>Standards Committee approve</w:t>
      </w:r>
      <w:r w:rsidR="00FA6CDF">
        <w:rPr>
          <w:szCs w:val="22"/>
        </w:rPr>
        <w:t>d moving the project into the standards development phase</w:t>
      </w:r>
      <w:r>
        <w:rPr>
          <w:szCs w:val="22"/>
        </w:rPr>
        <w:t xml:space="preserve"> on </w:t>
      </w:r>
    </w:p>
    <w:p w:rsidR="00670F21" w:rsidRDefault="00C71604" w:rsidP="00511576">
      <w:pPr>
        <w:numPr>
          <w:ilvl w:val="0"/>
          <w:numId w:val="7"/>
        </w:numPr>
        <w:rPr>
          <w:szCs w:val="22"/>
        </w:rPr>
      </w:pPr>
      <w:r>
        <w:rPr>
          <w:szCs w:val="22"/>
        </w:rPr>
        <w:t>The Standards Committee appointed the Standard Drafting Team on</w:t>
      </w:r>
    </w:p>
    <w:p w:rsidR="001306EF" w:rsidRDefault="001306EF" w:rsidP="00511576">
      <w:pPr>
        <w:numPr>
          <w:ilvl w:val="0"/>
          <w:numId w:val="7"/>
        </w:numPr>
        <w:rPr>
          <w:szCs w:val="22"/>
        </w:rPr>
      </w:pPr>
      <w:r>
        <w:rPr>
          <w:szCs w:val="22"/>
        </w:rPr>
        <w:t>The draft Standard was posted for Industry comment on</w:t>
      </w:r>
    </w:p>
    <w:p w:rsidR="001306EF" w:rsidRPr="003D11B8" w:rsidRDefault="001306EF" w:rsidP="00511576">
      <w:pPr>
        <w:numPr>
          <w:ilvl w:val="0"/>
          <w:numId w:val="7"/>
        </w:numPr>
        <w:rPr>
          <w:szCs w:val="22"/>
        </w:rPr>
      </w:pPr>
      <w:r>
        <w:rPr>
          <w:szCs w:val="22"/>
        </w:rPr>
        <w:t>The SDT responded to comments received on</w:t>
      </w:r>
    </w:p>
    <w:p w:rsidR="00670F21" w:rsidRPr="003D11B8" w:rsidRDefault="00670F21" w:rsidP="00670F21">
      <w:pPr>
        <w:outlineLvl w:val="0"/>
        <w:rPr>
          <w:b/>
          <w:szCs w:val="22"/>
        </w:rPr>
      </w:pPr>
      <w:r w:rsidRPr="003D11B8">
        <w:rPr>
          <w:b/>
          <w:szCs w:val="22"/>
        </w:rPr>
        <w:t>Proposed Action Plan and Description of Current Draft:</w:t>
      </w:r>
    </w:p>
    <w:p w:rsidR="00670F21" w:rsidRPr="003D11B8" w:rsidRDefault="00670F21" w:rsidP="00670F21">
      <w:pPr>
        <w:rPr>
          <w:b/>
          <w:szCs w:val="22"/>
        </w:rPr>
      </w:pPr>
      <w:r w:rsidRPr="003D11B8">
        <w:rPr>
          <w:szCs w:val="22"/>
        </w:rPr>
        <w:t xml:space="preserve">This is the </w:t>
      </w:r>
      <w:r w:rsidR="001306EF">
        <w:rPr>
          <w:szCs w:val="22"/>
        </w:rPr>
        <w:t>second</w:t>
      </w:r>
      <w:r>
        <w:rPr>
          <w:szCs w:val="22"/>
        </w:rPr>
        <w:t xml:space="preserve"> </w:t>
      </w:r>
      <w:r w:rsidRPr="003D11B8">
        <w:rPr>
          <w:szCs w:val="22"/>
        </w:rPr>
        <w:t xml:space="preserve">posting of the proposed standard and its associated implementation plan for a </w:t>
      </w:r>
      <w:r w:rsidR="001306EF">
        <w:rPr>
          <w:szCs w:val="22"/>
        </w:rPr>
        <w:t>30</w:t>
      </w:r>
      <w:r w:rsidR="00E21B81">
        <w:rPr>
          <w:szCs w:val="22"/>
        </w:rPr>
        <w:t xml:space="preserve"> d</w:t>
      </w:r>
      <w:r w:rsidRPr="003D11B8">
        <w:rPr>
          <w:szCs w:val="22"/>
        </w:rPr>
        <w:t xml:space="preserve">ay comment period, from </w:t>
      </w:r>
    </w:p>
    <w:p w:rsidR="00670F21" w:rsidRPr="003D11B8" w:rsidRDefault="00670F21"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670F21" w:rsidRPr="003D11B8" w:rsidTr="005A030B">
        <w:tc>
          <w:tcPr>
            <w:tcW w:w="6701" w:type="dxa"/>
          </w:tcPr>
          <w:p w:rsidR="00670F21" w:rsidRPr="003D11B8" w:rsidRDefault="00670F21" w:rsidP="00ED3464">
            <w:pPr>
              <w:jc w:val="center"/>
              <w:rPr>
                <w:b/>
                <w:szCs w:val="22"/>
              </w:rPr>
            </w:pPr>
            <w:r w:rsidRPr="003D11B8">
              <w:rPr>
                <w:b/>
                <w:szCs w:val="22"/>
              </w:rPr>
              <w:t>Anticipated Actions</w:t>
            </w:r>
          </w:p>
        </w:tc>
        <w:tc>
          <w:tcPr>
            <w:tcW w:w="2192" w:type="dxa"/>
          </w:tcPr>
          <w:p w:rsidR="00670F21" w:rsidRPr="003D11B8" w:rsidRDefault="00670F21" w:rsidP="00ED3464">
            <w:pPr>
              <w:jc w:val="center"/>
              <w:rPr>
                <w:b/>
                <w:szCs w:val="22"/>
              </w:rPr>
            </w:pPr>
            <w:r w:rsidRPr="003D11B8">
              <w:rPr>
                <w:b/>
                <w:szCs w:val="22"/>
              </w:rPr>
              <w:t>Anticipated Date</w:t>
            </w:r>
          </w:p>
        </w:tc>
      </w:tr>
      <w:tr w:rsidR="00670F21" w:rsidRPr="003D11B8" w:rsidTr="005A030B">
        <w:tc>
          <w:tcPr>
            <w:tcW w:w="6701" w:type="dxa"/>
          </w:tcPr>
          <w:p w:rsidR="00670F21" w:rsidRDefault="00670F21" w:rsidP="001306EF">
            <w:pPr>
              <w:numPr>
                <w:ilvl w:val="0"/>
                <w:numId w:val="6"/>
              </w:numPr>
              <w:spacing w:before="60"/>
              <w:rPr>
                <w:szCs w:val="22"/>
              </w:rPr>
            </w:pPr>
            <w:r>
              <w:rPr>
                <w:szCs w:val="22"/>
              </w:rPr>
              <w:t xml:space="preserve">Respond to comments on the </w:t>
            </w:r>
            <w:r w:rsidR="001306EF">
              <w:rPr>
                <w:szCs w:val="22"/>
              </w:rPr>
              <w:t>second</w:t>
            </w:r>
            <w:r>
              <w:rPr>
                <w:szCs w:val="22"/>
              </w:rPr>
              <w:t xml:space="preserve"> draft of the proposed standard</w:t>
            </w:r>
            <w:r w:rsidR="001306EF">
              <w:rPr>
                <w:szCs w:val="22"/>
              </w:rPr>
              <w:t>.</w:t>
            </w:r>
          </w:p>
        </w:tc>
        <w:tc>
          <w:tcPr>
            <w:tcW w:w="2192" w:type="dxa"/>
          </w:tcPr>
          <w:p w:rsidR="00670F21" w:rsidRDefault="00670F21" w:rsidP="001306EF">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Obtain the Standards Committee’s approval to move the standard forward to balloting.</w:t>
            </w:r>
          </w:p>
        </w:tc>
        <w:tc>
          <w:tcPr>
            <w:tcW w:w="2192" w:type="dxa"/>
          </w:tcPr>
          <w:p w:rsidR="00670F21" w:rsidRPr="003D11B8" w:rsidRDefault="00670F21" w:rsidP="00A838E9">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Post the standard and implementation plan for a 30-day pre-ballot review.</w:t>
            </w:r>
          </w:p>
        </w:tc>
        <w:tc>
          <w:tcPr>
            <w:tcW w:w="2192" w:type="dxa"/>
          </w:tcPr>
          <w:p w:rsidR="00670F21" w:rsidRPr="003D11B8" w:rsidRDefault="00670F21" w:rsidP="00A838E9">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Conduct an initial ballot for ten days.</w:t>
            </w:r>
          </w:p>
        </w:tc>
        <w:tc>
          <w:tcPr>
            <w:tcW w:w="2192" w:type="dxa"/>
          </w:tcPr>
          <w:p w:rsidR="00670F21" w:rsidRPr="003D11B8" w:rsidRDefault="00670F21" w:rsidP="00A838E9">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Respond to comments submitted with the initial ballot.</w:t>
            </w:r>
          </w:p>
        </w:tc>
        <w:tc>
          <w:tcPr>
            <w:tcW w:w="2192" w:type="dxa"/>
          </w:tcPr>
          <w:p w:rsidR="00670F21" w:rsidRPr="003D11B8" w:rsidRDefault="00670F21" w:rsidP="00A838E9">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Conduct a recirculation ballot for ten days.</w:t>
            </w:r>
          </w:p>
        </w:tc>
        <w:tc>
          <w:tcPr>
            <w:tcW w:w="2192" w:type="dxa"/>
          </w:tcPr>
          <w:p w:rsidR="00670F21" w:rsidRPr="003D11B8" w:rsidRDefault="00670F21" w:rsidP="00A838E9">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BOT adoption.</w:t>
            </w:r>
          </w:p>
        </w:tc>
        <w:tc>
          <w:tcPr>
            <w:tcW w:w="2192" w:type="dxa"/>
          </w:tcPr>
          <w:p w:rsidR="00670F21" w:rsidRPr="003D11B8" w:rsidRDefault="00670F21" w:rsidP="00A838E9">
            <w:pPr>
              <w:spacing w:before="60"/>
              <w:rPr>
                <w:szCs w:val="22"/>
              </w:rPr>
            </w:pPr>
          </w:p>
        </w:tc>
      </w:tr>
    </w:tbl>
    <w:p w:rsidR="00A838E9" w:rsidRDefault="00A838E9" w:rsidP="00670F21">
      <w:pPr>
        <w:rPr>
          <w:szCs w:val="22"/>
        </w:rPr>
      </w:pPr>
    </w:p>
    <w:p w:rsidR="00A838E9" w:rsidRDefault="00A838E9">
      <w:pPr>
        <w:spacing w:after="0"/>
        <w:rPr>
          <w:szCs w:val="22"/>
        </w:rPr>
      </w:pPr>
      <w:r>
        <w:rPr>
          <w:szCs w:val="22"/>
        </w:rPr>
        <w:br w:type="page"/>
      </w:r>
    </w:p>
    <w:p w:rsidR="00670F21" w:rsidRDefault="00670F21" w:rsidP="00670F21">
      <w:pPr>
        <w:rPr>
          <w:szCs w:val="22"/>
        </w:rPr>
      </w:pPr>
    </w:p>
    <w:p w:rsidR="00573743" w:rsidRDefault="00573743" w:rsidP="00670F21">
      <w:pPr>
        <w:rPr>
          <w:b/>
          <w:szCs w:val="22"/>
        </w:rPr>
      </w:pPr>
    </w:p>
    <w:p w:rsidR="00E5716C" w:rsidRPr="00A838E9" w:rsidRDefault="00A838E9" w:rsidP="00670F21">
      <w:pPr>
        <w:rPr>
          <w:b/>
          <w:sz w:val="28"/>
          <w:szCs w:val="28"/>
          <w:u w:val="single"/>
        </w:rPr>
      </w:pPr>
      <w:r w:rsidRPr="00A838E9">
        <w:rPr>
          <w:b/>
          <w:sz w:val="28"/>
          <w:szCs w:val="28"/>
          <w:u w:val="single"/>
        </w:rPr>
        <w:t>D</w:t>
      </w:r>
      <w:r w:rsidR="0049628C">
        <w:rPr>
          <w:b/>
          <w:sz w:val="28"/>
          <w:szCs w:val="28"/>
          <w:u w:val="single"/>
        </w:rPr>
        <w:t>efinitions of Terms used in the Standard</w:t>
      </w:r>
    </w:p>
    <w:p w:rsidR="00A838E9" w:rsidRDefault="00A838E9" w:rsidP="00670F21">
      <w:pPr>
        <w:rPr>
          <w:b/>
          <w:szCs w:val="22"/>
          <w:u w:val="single"/>
        </w:rPr>
      </w:pPr>
    </w:p>
    <w:p w:rsidR="00A838E9" w:rsidRDefault="00A838E9" w:rsidP="00A838E9">
      <w:pPr>
        <w:ind w:left="360"/>
        <w:rPr>
          <w:b/>
          <w:szCs w:val="22"/>
        </w:rPr>
      </w:pPr>
      <w:r w:rsidRPr="00A838E9">
        <w:rPr>
          <w:b/>
          <w:szCs w:val="22"/>
        </w:rPr>
        <w:t>Single Event Frequency Response Measure</w:t>
      </w:r>
      <w:r>
        <w:rPr>
          <w:b/>
          <w:szCs w:val="22"/>
        </w:rPr>
        <w:t xml:space="preserve"> (SEFRM)</w:t>
      </w:r>
    </w:p>
    <w:p w:rsidR="00A838E9" w:rsidRDefault="00A838E9" w:rsidP="00A838E9">
      <w:pPr>
        <w:ind w:left="360"/>
        <w:rPr>
          <w:b/>
          <w:szCs w:val="22"/>
        </w:rPr>
      </w:pPr>
    </w:p>
    <w:p w:rsidR="00A838E9" w:rsidRPr="00A838E9" w:rsidRDefault="00A838E9" w:rsidP="00A838E9">
      <w:pPr>
        <w:ind w:left="720"/>
        <w:rPr>
          <w:szCs w:val="22"/>
        </w:rPr>
      </w:pPr>
      <w:r w:rsidRPr="00A838E9">
        <w:rPr>
          <w:szCs w:val="22"/>
        </w:rPr>
        <w:t>The actual calculated Frequency Response for a single frequency deviation event expressed as the ratio of the change in MWs divided by the change in frequency.</w:t>
      </w:r>
    </w:p>
    <w:p w:rsidR="00A838E9" w:rsidRDefault="00A838E9" w:rsidP="00A838E9">
      <w:pPr>
        <w:rPr>
          <w:b/>
          <w:szCs w:val="22"/>
        </w:rPr>
      </w:pPr>
    </w:p>
    <w:p w:rsidR="00A838E9" w:rsidRDefault="00A838E9" w:rsidP="00A838E9">
      <w:pPr>
        <w:ind w:left="360"/>
        <w:rPr>
          <w:b/>
          <w:szCs w:val="22"/>
        </w:rPr>
      </w:pPr>
      <w:r>
        <w:rPr>
          <w:b/>
          <w:szCs w:val="22"/>
        </w:rPr>
        <w:t>Frequency Response Measure (FRM)</w:t>
      </w:r>
    </w:p>
    <w:p w:rsidR="00A838E9" w:rsidRDefault="00A838E9" w:rsidP="00A838E9">
      <w:pPr>
        <w:ind w:left="360"/>
        <w:rPr>
          <w:b/>
          <w:szCs w:val="22"/>
        </w:rPr>
      </w:pPr>
    </w:p>
    <w:p w:rsidR="00A838E9" w:rsidRPr="00A838E9" w:rsidRDefault="00A838E9" w:rsidP="00A838E9">
      <w:pPr>
        <w:ind w:left="720"/>
        <w:rPr>
          <w:szCs w:val="22"/>
        </w:rPr>
      </w:pPr>
      <w:r w:rsidRPr="00A838E9">
        <w:rPr>
          <w:szCs w:val="22"/>
        </w:rPr>
        <w:t xml:space="preserve">The slope of the linear regression line through the origin of the last 12 months of </w:t>
      </w:r>
      <w:ins w:id="0" w:author="Darrel Richardson" w:date="2010-05-07T17:12:00Z">
        <w:r w:rsidR="009E5A75">
          <w:rPr>
            <w:szCs w:val="22"/>
          </w:rPr>
          <w:t xml:space="preserve">ordered pairs used in the </w:t>
        </w:r>
      </w:ins>
      <w:ins w:id="1" w:author="Darrel Richardson" w:date="2010-05-07T17:13:00Z">
        <w:r w:rsidR="009E5A75">
          <w:rPr>
            <w:szCs w:val="22"/>
          </w:rPr>
          <w:t>calculation of SEFRM</w:t>
        </w:r>
      </w:ins>
      <w:del w:id="2" w:author="Darrel Richardson" w:date="2010-05-07T17:13:00Z">
        <w:r w:rsidRPr="00A838E9" w:rsidDel="009E5A75">
          <w:rPr>
            <w:szCs w:val="22"/>
          </w:rPr>
          <w:delText>SEFRMs</w:delText>
        </w:r>
      </w:del>
      <w:ins w:id="3" w:author="Darrel Richardson" w:date="2010-05-07T17:13:00Z">
        <w:r w:rsidR="009E5A75">
          <w:rPr>
            <w:szCs w:val="22"/>
          </w:rPr>
          <w:t>,</w:t>
        </w:r>
      </w:ins>
      <w:ins w:id="4" w:author="Darrel Richardson" w:date="2010-05-07T13:09:00Z">
        <w:r w:rsidR="009E5A75">
          <w:rPr>
            <w:szCs w:val="22"/>
          </w:rPr>
          <w:t xml:space="preserve"> plotted as points in the M</w:t>
        </w:r>
      </w:ins>
      <w:ins w:id="5" w:author="Darrel Richardson" w:date="2010-05-07T17:13:00Z">
        <w:r w:rsidR="009E5A75">
          <w:rPr>
            <w:szCs w:val="22"/>
          </w:rPr>
          <w:t xml:space="preserve">W - </w:t>
        </w:r>
      </w:ins>
      <w:ins w:id="6" w:author="Darrel Richardson" w:date="2010-05-07T13:09:00Z">
        <w:r w:rsidR="0049628C">
          <w:rPr>
            <w:szCs w:val="22"/>
          </w:rPr>
          <w:t xml:space="preserve">Hz </w:t>
        </w:r>
      </w:ins>
      <w:ins w:id="7" w:author="Darrel Richardson" w:date="2010-05-07T17:13:00Z">
        <w:r w:rsidR="009E5A75">
          <w:rPr>
            <w:szCs w:val="22"/>
          </w:rPr>
          <w:t xml:space="preserve">space, expressed in MW/0.1 Hz, </w:t>
        </w:r>
      </w:ins>
      <w:ins w:id="8" w:author="Darrel Richardson" w:date="2010-05-07T13:09:00Z">
        <w:r w:rsidR="0049628C">
          <w:rPr>
            <w:szCs w:val="22"/>
          </w:rPr>
          <w:t xml:space="preserve">in accordance with Section 1 of Attachment </w:t>
        </w:r>
      </w:ins>
      <w:ins w:id="9" w:author="Darrel Richardson" w:date="2010-05-10T13:45:00Z">
        <w:r w:rsidR="009D7059">
          <w:rPr>
            <w:szCs w:val="22"/>
          </w:rPr>
          <w:t>A</w:t>
        </w:r>
      </w:ins>
      <w:r w:rsidRPr="00A838E9">
        <w:rPr>
          <w:szCs w:val="22"/>
        </w:rPr>
        <w:t>.</w:t>
      </w:r>
    </w:p>
    <w:p w:rsidR="00A838E9" w:rsidRDefault="00A838E9" w:rsidP="00A838E9">
      <w:pPr>
        <w:rPr>
          <w:b/>
          <w:szCs w:val="22"/>
        </w:rPr>
      </w:pPr>
    </w:p>
    <w:p w:rsidR="00A838E9" w:rsidRDefault="00A838E9" w:rsidP="00A838E9">
      <w:pPr>
        <w:ind w:left="360"/>
        <w:rPr>
          <w:b/>
          <w:szCs w:val="22"/>
        </w:rPr>
      </w:pPr>
      <w:r>
        <w:rPr>
          <w:b/>
          <w:szCs w:val="22"/>
        </w:rPr>
        <w:t xml:space="preserve">Frequency Response </w:t>
      </w:r>
      <w:ins w:id="10" w:author="Darrel Richardson" w:date="2010-05-10T13:45:00Z">
        <w:r w:rsidR="009D7059">
          <w:rPr>
            <w:b/>
            <w:szCs w:val="22"/>
          </w:rPr>
          <w:t>Obligation</w:t>
        </w:r>
      </w:ins>
      <w:del w:id="11" w:author="Darrel Richardson" w:date="2010-05-10T13:45:00Z">
        <w:r w:rsidDel="009D7059">
          <w:rPr>
            <w:b/>
            <w:szCs w:val="22"/>
          </w:rPr>
          <w:delText>Requirement</w:delText>
        </w:r>
      </w:del>
      <w:r>
        <w:rPr>
          <w:b/>
          <w:szCs w:val="22"/>
        </w:rPr>
        <w:t xml:space="preserve"> (FR</w:t>
      </w:r>
      <w:ins w:id="12" w:author="Darrel Richardson" w:date="2010-05-10T13:45:00Z">
        <w:r w:rsidR="009D7059">
          <w:rPr>
            <w:b/>
            <w:szCs w:val="22"/>
          </w:rPr>
          <w:t>O</w:t>
        </w:r>
      </w:ins>
      <w:del w:id="13" w:author="Darrel Richardson" w:date="2010-05-10T13:45:00Z">
        <w:r w:rsidDel="009D7059">
          <w:rPr>
            <w:b/>
            <w:szCs w:val="22"/>
          </w:rPr>
          <w:delText>R</w:delText>
        </w:r>
      </w:del>
      <w:r>
        <w:rPr>
          <w:b/>
          <w:szCs w:val="22"/>
        </w:rPr>
        <w:t>)</w:t>
      </w:r>
    </w:p>
    <w:p w:rsidR="00A838E9" w:rsidRDefault="00A838E9" w:rsidP="00A838E9">
      <w:pPr>
        <w:ind w:left="360"/>
        <w:rPr>
          <w:b/>
          <w:szCs w:val="22"/>
        </w:rPr>
      </w:pPr>
    </w:p>
    <w:p w:rsidR="00A838E9" w:rsidRPr="00A838E9" w:rsidRDefault="0049628C" w:rsidP="00A838E9">
      <w:pPr>
        <w:ind w:left="720"/>
        <w:rPr>
          <w:szCs w:val="22"/>
        </w:rPr>
      </w:pPr>
      <w:ins w:id="14" w:author="Darrel Richardson" w:date="2010-05-07T13:11:00Z">
        <w:r>
          <w:rPr>
            <w:szCs w:val="22"/>
          </w:rPr>
          <w:t xml:space="preserve">A minimum Frequency Response assigned by the ERO in accordance with Section 2 of Attachment </w:t>
        </w:r>
      </w:ins>
      <w:ins w:id="15" w:author="Darrel Richardson" w:date="2010-05-10T13:45:00Z">
        <w:r w:rsidR="009D7059">
          <w:rPr>
            <w:szCs w:val="22"/>
          </w:rPr>
          <w:t>A</w:t>
        </w:r>
      </w:ins>
      <w:ins w:id="16" w:author="Darrel Richardson" w:date="2010-05-07T13:11:00Z">
        <w:r>
          <w:rPr>
            <w:szCs w:val="22"/>
          </w:rPr>
          <w:t xml:space="preserve"> on the basis of Frequency Response Reliability (FRR) as defined therein.</w:t>
        </w:r>
      </w:ins>
    </w:p>
    <w:p w:rsidR="00A0765D" w:rsidRPr="00E5716C" w:rsidRDefault="00A0765D" w:rsidP="00432F31">
      <w:pPr>
        <w:rPr>
          <w:szCs w:val="22"/>
        </w:rPr>
      </w:pPr>
    </w:p>
    <w:p w:rsidR="00670F21" w:rsidRPr="00165490" w:rsidRDefault="00670F21" w:rsidP="00670F21">
      <w:pPr>
        <w:pStyle w:val="Section"/>
      </w:pPr>
      <w:r w:rsidRPr="003D11B8">
        <w:rPr>
          <w:color w:val="000000"/>
          <w:szCs w:val="22"/>
        </w:rPr>
        <w:br w:type="page"/>
      </w:r>
      <w:r w:rsidR="00165490">
        <w:rPr>
          <w:color w:val="000000"/>
          <w:szCs w:val="22"/>
        </w:rPr>
        <w:lastRenderedPageBreak/>
        <w:t>Introduction</w:t>
      </w:r>
    </w:p>
    <w:p w:rsidR="00E1757C" w:rsidRPr="00A15913" w:rsidRDefault="00E1757C" w:rsidP="00E1757C">
      <w:pPr>
        <w:pStyle w:val="ListNumber"/>
        <w:rPr>
          <w:b/>
        </w:rPr>
      </w:pPr>
      <w:r w:rsidRPr="00A15913">
        <w:rPr>
          <w:b/>
        </w:rPr>
        <w:t>Title:</w:t>
      </w:r>
      <w:r w:rsidR="0001473D">
        <w:rPr>
          <w:b/>
        </w:rPr>
        <w:tab/>
      </w:r>
      <w:r w:rsidR="00A838E9">
        <w:rPr>
          <w:b/>
        </w:rPr>
        <w:t>Frequency Response and Frequency Bias</w:t>
      </w:r>
    </w:p>
    <w:p w:rsidR="00E1757C" w:rsidRPr="00A15913" w:rsidRDefault="00E1757C" w:rsidP="00E1757C">
      <w:pPr>
        <w:pStyle w:val="ListNumber"/>
        <w:rPr>
          <w:b/>
        </w:rPr>
      </w:pPr>
      <w:r w:rsidRPr="00A15913">
        <w:rPr>
          <w:b/>
        </w:rPr>
        <w:t>Number:</w:t>
      </w:r>
      <w:r w:rsidR="00A15913">
        <w:rPr>
          <w:b/>
        </w:rPr>
        <w:tab/>
      </w:r>
      <w:r w:rsidR="00A838E9">
        <w:rPr>
          <w:b/>
        </w:rPr>
        <w:t>BAL</w:t>
      </w:r>
      <w:r w:rsidR="00A5794E">
        <w:rPr>
          <w:b/>
        </w:rPr>
        <w:t>-003</w:t>
      </w:r>
      <w:r w:rsidR="007D0587">
        <w:rPr>
          <w:b/>
        </w:rPr>
        <w:t>-1</w:t>
      </w:r>
    </w:p>
    <w:p w:rsidR="00CD0B26" w:rsidRPr="002453D3" w:rsidRDefault="00E1757C" w:rsidP="00C03F1C">
      <w:pPr>
        <w:pStyle w:val="ListNumber"/>
        <w:rPr>
          <w:b/>
          <w:i/>
        </w:rPr>
      </w:pPr>
      <w:r w:rsidRPr="007D0587">
        <w:rPr>
          <w:b/>
        </w:rPr>
        <w:t>Purpose</w:t>
      </w:r>
      <w:r w:rsidR="00A15913" w:rsidRPr="007D0587">
        <w:rPr>
          <w:b/>
        </w:rPr>
        <w:t>:</w:t>
      </w:r>
      <w:r w:rsidR="00CD0B26">
        <w:t xml:space="preserve"> </w:t>
      </w:r>
      <w:r w:rsidR="00496E6C">
        <w:t xml:space="preserve">To </w:t>
      </w:r>
      <w:r w:rsidR="00A838E9">
        <w:t xml:space="preserve">require sufficient </w:t>
      </w:r>
      <w:del w:id="17" w:author="Darrel Richardson" w:date="2010-05-07T17:15:00Z">
        <w:r w:rsidR="00A838E9" w:rsidDel="009E5A75">
          <w:delText xml:space="preserve">Balancing Authority </w:delText>
        </w:r>
      </w:del>
      <w:r w:rsidR="00A838E9">
        <w:t xml:space="preserve">Frequency Response </w:t>
      </w:r>
      <w:ins w:id="18" w:author="Darrel Richardson" w:date="2010-05-07T17:15:00Z">
        <w:r w:rsidR="009E5A75">
          <w:t xml:space="preserve">from the Balancing Authority </w:t>
        </w:r>
      </w:ins>
      <w:r w:rsidR="00A838E9">
        <w:t>to maintain Interconnection Frequency Response above a predefined level and to provide consistent methods for measuring Frequency Response and determining the Frequency Bias Setting.</w:t>
      </w:r>
      <w:r w:rsidR="00496E6C">
        <w:t xml:space="preserve">   </w:t>
      </w:r>
    </w:p>
    <w:p w:rsidR="00E1757C" w:rsidRDefault="00E1757C" w:rsidP="00E1757C">
      <w:pPr>
        <w:pStyle w:val="ListNumber"/>
        <w:rPr>
          <w:b/>
        </w:rPr>
      </w:pPr>
      <w:r w:rsidRPr="00A15913">
        <w:rPr>
          <w:b/>
        </w:rPr>
        <w:t>Applicability:</w:t>
      </w:r>
      <w:r w:rsidR="00AF555F">
        <w:rPr>
          <w:b/>
        </w:rPr>
        <w:t xml:space="preserve"> </w:t>
      </w:r>
    </w:p>
    <w:p w:rsidR="004D127E" w:rsidRPr="007D0587" w:rsidRDefault="00CD0B26" w:rsidP="004D127E">
      <w:pPr>
        <w:pStyle w:val="ListNumber"/>
        <w:numPr>
          <w:ilvl w:val="1"/>
          <w:numId w:val="1"/>
        </w:numPr>
      </w:pPr>
      <w:r w:rsidRPr="007D0587">
        <w:t>Balancing Authority</w:t>
      </w:r>
    </w:p>
    <w:p w:rsidR="00E1757C" w:rsidRDefault="00E1757C" w:rsidP="00A15913">
      <w:pPr>
        <w:pStyle w:val="ListNumber"/>
        <w:tabs>
          <w:tab w:val="left" w:pos="3600"/>
        </w:tabs>
        <w:rPr>
          <w:b/>
        </w:rPr>
      </w:pPr>
      <w:r w:rsidRPr="00A15913">
        <w:rPr>
          <w:b/>
        </w:rPr>
        <w:t>Effective Date:</w:t>
      </w:r>
    </w:p>
    <w:p w:rsidR="00CC56B8" w:rsidRDefault="00650430" w:rsidP="009517BC">
      <w:pPr>
        <w:pStyle w:val="ListNumber"/>
        <w:numPr>
          <w:ilvl w:val="1"/>
          <w:numId w:val="1"/>
        </w:numPr>
      </w:pPr>
      <w:r>
        <w:t xml:space="preserve">In those jurisdictions where regulatory approval is required, </w:t>
      </w:r>
      <w:r w:rsidR="00831ED3">
        <w:t xml:space="preserve">Requirements R1, R3 and R4 of </w:t>
      </w:r>
      <w:r>
        <w:t>t</w:t>
      </w:r>
      <w:r w:rsidR="00941F9D">
        <w:t>his standard</w:t>
      </w:r>
      <w:r w:rsidR="009517BC">
        <w:t xml:space="preserve"> shall become effective the first </w:t>
      </w:r>
      <w:r w:rsidR="00643479">
        <w:t xml:space="preserve">calendar </w:t>
      </w:r>
      <w:r w:rsidR="009517BC">
        <w:t xml:space="preserve">day of the first </w:t>
      </w:r>
      <w:r w:rsidR="006F5AD6">
        <w:t xml:space="preserve">calendar </w:t>
      </w:r>
      <w:r w:rsidR="009517BC">
        <w:t xml:space="preserve">quarter </w:t>
      </w:r>
      <w:r w:rsidR="00831ED3">
        <w:t>XX</w:t>
      </w:r>
      <w:r w:rsidR="006F5AD6">
        <w:t xml:space="preserve"> months after</w:t>
      </w:r>
      <w:r w:rsidR="009517BC">
        <w:t xml:space="preserve"> </w:t>
      </w:r>
      <w:r w:rsidR="00643479">
        <w:t xml:space="preserve">applicable </w:t>
      </w:r>
      <w:r w:rsidR="009517BC">
        <w:t>regulatory approval</w:t>
      </w:r>
      <w:r>
        <w:t xml:space="preserve">.  In those jurisdictions where no regulatory approval is required, </w:t>
      </w:r>
      <w:r w:rsidR="00831ED3">
        <w:t xml:space="preserve">Requirements R1, R3 and R4 of </w:t>
      </w:r>
      <w:r>
        <w:t>this standard shall</w:t>
      </w:r>
      <w:r w:rsidR="009517BC">
        <w:t xml:space="preserve"> become effective </w:t>
      </w:r>
      <w:r w:rsidR="00A81256">
        <w:t xml:space="preserve">the </w:t>
      </w:r>
      <w:r w:rsidR="009517BC">
        <w:t xml:space="preserve">first </w:t>
      </w:r>
      <w:r w:rsidR="00643479">
        <w:t xml:space="preserve">calendar </w:t>
      </w:r>
      <w:r w:rsidR="009517BC">
        <w:t xml:space="preserve">day of the first </w:t>
      </w:r>
      <w:r w:rsidR="006F5AD6">
        <w:t xml:space="preserve">calendar </w:t>
      </w:r>
      <w:r w:rsidR="009517BC">
        <w:t xml:space="preserve">quarter </w:t>
      </w:r>
      <w:r w:rsidR="00831ED3">
        <w:t>XX</w:t>
      </w:r>
      <w:r w:rsidR="006F5AD6">
        <w:t xml:space="preserve"> months </w:t>
      </w:r>
      <w:r w:rsidR="009517BC">
        <w:t>after Board of Trustee</w:t>
      </w:r>
      <w:r w:rsidR="00643479">
        <w:t>s</w:t>
      </w:r>
      <w:r w:rsidR="009517BC">
        <w:t xml:space="preserve"> adoption.</w:t>
      </w:r>
    </w:p>
    <w:p w:rsidR="00831ED3" w:rsidRPr="009517BC" w:rsidRDefault="00831ED3" w:rsidP="00831ED3">
      <w:pPr>
        <w:pStyle w:val="ListNumber"/>
        <w:numPr>
          <w:ilvl w:val="1"/>
          <w:numId w:val="1"/>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0A792D" w:rsidRPr="000A792D" w:rsidRDefault="00E1757C" w:rsidP="00670B7D">
      <w:pPr>
        <w:pStyle w:val="Section"/>
      </w:pPr>
      <w:r>
        <w:t>Requirements</w:t>
      </w:r>
    </w:p>
    <w:p w:rsidR="001149A9" w:rsidRDefault="00515FA4" w:rsidP="000B6F46">
      <w:pPr>
        <w:pStyle w:val="Requirement"/>
        <w:numPr>
          <w:ilvl w:val="0"/>
          <w:numId w:val="29"/>
        </w:numPr>
      </w:pPr>
      <w:r>
        <w:t>Each</w:t>
      </w:r>
      <w:r w:rsidR="009F65B9">
        <w:t xml:space="preserve"> </w:t>
      </w:r>
      <w:r w:rsidR="003B0ABC">
        <w:t xml:space="preserve">Balancing Authority shall measure its Frequency Response to prescribed frequency events </w:t>
      </w:r>
      <w:del w:id="19" w:author="Darrel Richardson" w:date="2010-05-10T13:42:00Z">
        <w:r w:rsidR="003B0ABC" w:rsidDel="009D7059">
          <w:delText xml:space="preserve">and report its SEFRMs and FRM quarterly </w:delText>
        </w:r>
      </w:del>
      <w:r w:rsidR="003B0ABC">
        <w:t>in accordance with Attachments A</w:t>
      </w:r>
      <w:ins w:id="20" w:author="Darrel Richardson" w:date="2010-05-10T13:46:00Z">
        <w:r w:rsidR="009D7059">
          <w:t xml:space="preserve"> Section 1</w:t>
        </w:r>
      </w:ins>
      <w:r w:rsidR="009F65B9">
        <w:t xml:space="preserve">: </w:t>
      </w:r>
      <w:r w:rsidR="009F65B9" w:rsidRPr="00961ACC">
        <w:rPr>
          <w:i/>
        </w:rPr>
        <w:t>[R</w:t>
      </w:r>
      <w:r w:rsidR="008569F8" w:rsidRPr="00961ACC">
        <w:rPr>
          <w:i/>
        </w:rPr>
        <w:t xml:space="preserve">isk Factor: </w:t>
      </w:r>
      <w:r w:rsidR="00320E70">
        <w:rPr>
          <w:i/>
        </w:rPr>
        <w:t>Medium</w:t>
      </w:r>
      <w:r w:rsidR="008569F8" w:rsidRPr="00961ACC">
        <w:rPr>
          <w:i/>
        </w:rPr>
        <w:t xml:space="preserve">][Time Horizon: </w:t>
      </w:r>
      <w:r w:rsidR="008A77A3">
        <w:rPr>
          <w:i/>
        </w:rPr>
        <w:t>Operations Planning</w:t>
      </w:r>
      <w:r w:rsidR="009F65B9" w:rsidRPr="00961ACC">
        <w:rPr>
          <w:i/>
        </w:rPr>
        <w:t>]</w:t>
      </w:r>
    </w:p>
    <w:p w:rsidR="0089308A" w:rsidRDefault="00515FA4" w:rsidP="000B6F46">
      <w:pPr>
        <w:pStyle w:val="Requirement"/>
        <w:numPr>
          <w:ilvl w:val="0"/>
          <w:numId w:val="29"/>
        </w:numPr>
      </w:pPr>
      <w:r>
        <w:t>Each</w:t>
      </w:r>
      <w:r w:rsidR="005C406B">
        <w:t xml:space="preserve"> </w:t>
      </w:r>
      <w:r w:rsidR="005209B6">
        <w:t>Balancing Authority shall achieve a</w:t>
      </w:r>
      <w:ins w:id="21" w:author="Darrel Richardson" w:date="2010-05-10T13:43:00Z">
        <w:r w:rsidR="009D7059">
          <w:t xml:space="preserve">n FRM not less negative than the FRO.  </w:t>
        </w:r>
      </w:ins>
      <w:del w:id="22" w:author="Darrel Richardson" w:date="2010-05-10T13:44:00Z">
        <w:r w:rsidR="005209B6" w:rsidDel="009D7059">
          <w:delText xml:space="preserve"> measured minimum Frequency Response assigned by the </w:delText>
        </w:r>
      </w:del>
      <w:ins w:id="23" w:author="Darrel Richardson" w:date="2010-05-10T13:44:00Z">
        <w:r w:rsidR="009D7059">
          <w:t xml:space="preserve">The </w:t>
        </w:r>
      </w:ins>
      <w:r w:rsidR="005209B6">
        <w:t xml:space="preserve">ERO </w:t>
      </w:r>
      <w:ins w:id="24" w:author="Darrel Richardson" w:date="2010-05-10T13:44:00Z">
        <w:r w:rsidR="009D7059">
          <w:t xml:space="preserve">shall set the FRO, calculated in accordance with Attachment </w:t>
        </w:r>
      </w:ins>
      <w:ins w:id="25" w:author="Darrel Richardson" w:date="2010-05-10T13:46:00Z">
        <w:r w:rsidR="009D7059">
          <w:t xml:space="preserve">A Section 3, </w:t>
        </w:r>
      </w:ins>
      <w:del w:id="26" w:author="Darrel Richardson" w:date="2010-05-10T13:46:00Z">
        <w:r w:rsidR="005209B6" w:rsidDel="009D7059">
          <w:delText>in accordance with Attachment</w:delText>
        </w:r>
      </w:del>
      <w:del w:id="27" w:author="Darrel Richardson" w:date="2010-05-10T13:47:00Z">
        <w:r w:rsidR="005209B6" w:rsidDel="009D7059">
          <w:delText xml:space="preserve"> B.  The minimum Frequency Response level shall be declared by </w:delText>
        </w:r>
      </w:del>
      <w:ins w:id="28" w:author="Darrel Richardson" w:date="2010-05-10T13:47:00Z">
        <w:r w:rsidR="009D7059">
          <w:t xml:space="preserve">by </w:t>
        </w:r>
      </w:ins>
      <w:r w:rsidR="005209B6">
        <w:t xml:space="preserve">the first day of </w:t>
      </w:r>
      <w:ins w:id="29" w:author="Darrel Richardson" w:date="2010-05-10T13:47:00Z">
        <w:r w:rsidR="009D7059">
          <w:t>February for the following calendar year</w:t>
        </w:r>
      </w:ins>
      <w:del w:id="30" w:author="Darrel Richardson" w:date="2010-05-10T13:47:00Z">
        <w:r w:rsidR="005209B6" w:rsidDel="009D7059">
          <w:delText>December for the following calendar year</w:delText>
        </w:r>
      </w:del>
      <w:r w:rsidR="005C406B">
        <w:t xml:space="preserve">: </w:t>
      </w:r>
      <w:r w:rsidR="005C406B" w:rsidRPr="00961ACC">
        <w:rPr>
          <w:i/>
        </w:rPr>
        <w:t xml:space="preserve">[Risk Factor: </w:t>
      </w:r>
      <w:r w:rsidR="005C406B">
        <w:rPr>
          <w:i/>
        </w:rPr>
        <w:t>High</w:t>
      </w:r>
      <w:r w:rsidR="005C406B" w:rsidRPr="00961ACC">
        <w:rPr>
          <w:i/>
        </w:rPr>
        <w:t>][Time Horizon: Real-time Operations]</w:t>
      </w:r>
    </w:p>
    <w:p w:rsidR="005C406B" w:rsidRDefault="00515FA4" w:rsidP="000B6F46">
      <w:pPr>
        <w:pStyle w:val="Requirement"/>
        <w:numPr>
          <w:ilvl w:val="0"/>
          <w:numId w:val="29"/>
        </w:numPr>
      </w:pPr>
      <w:r>
        <w:t xml:space="preserve">Each </w:t>
      </w:r>
      <w:r w:rsidR="005C406B">
        <w:t>Balancing Authority</w:t>
      </w:r>
      <w:r w:rsidR="00EE57C9">
        <w:t xml:space="preserve"> </w:t>
      </w:r>
      <w:r w:rsidR="005C406B">
        <w:t xml:space="preserve">shall </w:t>
      </w:r>
      <w:r w:rsidR="00E73958">
        <w:t xml:space="preserve">establish either a fixed or variable Frequency Bias Setting by </w:t>
      </w:r>
      <w:ins w:id="31" w:author="Darrel Richardson" w:date="2010-05-10T13:48:00Z">
        <w:r w:rsidR="009D7059">
          <w:t>November</w:t>
        </w:r>
      </w:ins>
      <w:del w:id="32" w:author="Darrel Richardson" w:date="2010-05-10T13:48:00Z">
        <w:r w:rsidR="00E73958" w:rsidDel="009D7059">
          <w:delText>January</w:delText>
        </w:r>
      </w:del>
      <w:r w:rsidR="00E73958">
        <w:t xml:space="preserve"> 1 of each year</w:t>
      </w:r>
      <w:ins w:id="33" w:author="Darrel Richardson" w:date="2010-05-10T13:49:00Z">
        <w:r w:rsidR="009D7059">
          <w:t xml:space="preserve"> for implementation in the ACE equation at the beginning of the next calendar year</w:t>
        </w:r>
      </w:ins>
      <w:r w:rsidR="00E73958">
        <w:t xml:space="preserve">.  </w:t>
      </w:r>
      <w:ins w:id="34" w:author="Darrel Richardson" w:date="2010-05-10T13:49:00Z">
        <w:r w:rsidR="009D7059">
          <w:t xml:space="preserve">At other times </w:t>
        </w:r>
      </w:ins>
      <w:del w:id="35" w:author="Darrel Richardson" w:date="2010-05-10T13:49:00Z">
        <w:r w:rsidR="00E73958" w:rsidDel="009D7059">
          <w:delText>Additional</w:delText>
        </w:r>
      </w:del>
      <w:del w:id="36" w:author="Darrel Richardson" w:date="2010-05-10T13:50:00Z">
        <w:r w:rsidR="00E73958" w:rsidDel="009D7059">
          <w:delText xml:space="preserve"> </w:delText>
        </w:r>
      </w:del>
      <w:r w:rsidR="00E73958">
        <w:t xml:space="preserve">changes may be made to the Balancing Authority’s Frequency Bias Setting, and </w:t>
      </w:r>
      <w:ins w:id="37" w:author="Darrel Richardson" w:date="2010-05-10T13:50:00Z">
        <w:r w:rsidR="009D7059">
          <w:t xml:space="preserve">to </w:t>
        </w:r>
      </w:ins>
      <w:r w:rsidR="00E73958">
        <w:t>the method used to determine the setting</w:t>
      </w:r>
      <w:ins w:id="38" w:author="Darrel Richardson" w:date="2010-05-10T13:50:00Z">
        <w:r w:rsidR="009D7059">
          <w:t xml:space="preserve">, </w:t>
        </w:r>
      </w:ins>
      <w:del w:id="39" w:author="Darrel Richardson" w:date="2010-05-10T13:50:00Z">
        <w:r w:rsidR="00E73958" w:rsidDel="009D7059">
          <w:delText xml:space="preserve"> at other times</w:delText>
        </w:r>
      </w:del>
      <w:ins w:id="40" w:author="Darrel Richardson" w:date="2010-05-10T13:50:00Z">
        <w:r w:rsidR="009D7059">
          <w:t>but only</w:t>
        </w:r>
      </w:ins>
      <w:r w:rsidR="00E73958">
        <w:t xml:space="preserve"> with the concurrence of the NERC Resources Subcommittee</w:t>
      </w:r>
      <w:r w:rsidR="005C406B">
        <w:t xml:space="preserve">: </w:t>
      </w:r>
      <w:r w:rsidR="005C406B" w:rsidRPr="00961ACC">
        <w:rPr>
          <w:i/>
        </w:rPr>
        <w:t xml:space="preserve">[Risk Factor: </w:t>
      </w:r>
      <w:r w:rsidR="00320E70">
        <w:rPr>
          <w:i/>
        </w:rPr>
        <w:t>Medium</w:t>
      </w:r>
      <w:r w:rsidR="005C406B" w:rsidRPr="00961ACC">
        <w:rPr>
          <w:i/>
        </w:rPr>
        <w:t xml:space="preserve">][Time Horizon: </w:t>
      </w:r>
      <w:r w:rsidR="008A77A3">
        <w:rPr>
          <w:i/>
        </w:rPr>
        <w:t>Operations Planning</w:t>
      </w:r>
      <w:r w:rsidR="005C406B" w:rsidRPr="00961ACC">
        <w:rPr>
          <w:i/>
        </w:rPr>
        <w:t>]</w:t>
      </w:r>
      <w:r w:rsidR="005C406B">
        <w:t>:</w:t>
      </w:r>
    </w:p>
    <w:p w:rsidR="00411AD6" w:rsidRDefault="00F523B9" w:rsidP="000B6F46">
      <w:pPr>
        <w:pStyle w:val="Requirement"/>
        <w:numPr>
          <w:ilvl w:val="1"/>
          <w:numId w:val="29"/>
        </w:numPr>
      </w:pPr>
      <w:r>
        <w:t xml:space="preserve">The Balancing Authority may use a fixed Frequency Bias Setting that is equal to, or more negative than the lesser of the Balancing </w:t>
      </w:r>
      <w:ins w:id="41" w:author="Darrel Richardson" w:date="2010-05-10T13:53:00Z">
        <w:r w:rsidR="009D7059">
          <w:t>A</w:t>
        </w:r>
      </w:ins>
      <w:del w:id="42" w:author="Darrel Richardson" w:date="2010-05-10T13:53:00Z">
        <w:r w:rsidDel="009D7059">
          <w:delText>a</w:delText>
        </w:r>
      </w:del>
      <w:r>
        <w:t>uthority’s FR</w:t>
      </w:r>
      <w:ins w:id="43" w:author="Darrel Richardson" w:date="2010-05-10T13:51:00Z">
        <w:r w:rsidR="009D7059">
          <w:t>O</w:t>
        </w:r>
      </w:ins>
      <w:del w:id="44" w:author="Darrel Richardson" w:date="2010-05-10T13:51:00Z">
        <w:r w:rsidDel="009D7059">
          <w:delText>R</w:delText>
        </w:r>
      </w:del>
      <w:r>
        <w:t xml:space="preserve"> or FRM</w:t>
      </w:r>
      <w:del w:id="45" w:author="Darrel Richardson" w:date="2010-05-10T13:51:00Z">
        <w:r w:rsidDel="009D7059">
          <w:delText xml:space="preserve"> as determined by the Balancing Authority</w:delText>
        </w:r>
      </w:del>
      <w:r>
        <w:t>.</w:t>
      </w:r>
    </w:p>
    <w:p w:rsidR="00FC4AC4" w:rsidRDefault="00B04D98" w:rsidP="000B6F46">
      <w:pPr>
        <w:pStyle w:val="Requirement"/>
        <w:numPr>
          <w:ilvl w:val="2"/>
          <w:numId w:val="29"/>
        </w:numPr>
      </w:pPr>
      <w:r>
        <w:t xml:space="preserve"> </w:t>
      </w:r>
      <w:del w:id="46" w:author="Darrel Richardson" w:date="2010-05-10T13:51:00Z">
        <w:r w:rsidR="000B6F46" w:rsidDel="009D7059">
          <w:delText>If t</w:delText>
        </w:r>
      </w:del>
      <w:ins w:id="47" w:author="Darrel Richardson" w:date="2010-05-10T13:51:00Z">
        <w:r w:rsidR="009D7059">
          <w:t>T</w:t>
        </w:r>
      </w:ins>
      <w:r w:rsidR="000B6F46">
        <w:t xml:space="preserve">he </w:t>
      </w:r>
      <w:ins w:id="48" w:author="Darrel Richardson" w:date="2010-05-10T13:51:00Z">
        <w:r w:rsidR="009D7059">
          <w:t xml:space="preserve">fixed Frequency </w:t>
        </w:r>
      </w:ins>
      <w:ins w:id="49" w:author="Darrel Richardson" w:date="2010-05-10T13:53:00Z">
        <w:r w:rsidR="009D7059">
          <w:t>B</w:t>
        </w:r>
      </w:ins>
      <w:ins w:id="50" w:author="Darrel Richardson" w:date="2010-05-10T13:51:00Z">
        <w:r w:rsidR="009D7059">
          <w:t xml:space="preserve">ias Setting </w:t>
        </w:r>
      </w:ins>
      <w:del w:id="51" w:author="Darrel Richardson" w:date="2010-05-10T13:52:00Z">
        <w:r w:rsidR="000B6F46" w:rsidDel="009D7059">
          <w:delText>Balancing Authority chooses to establish a fixed Frequency Bias Setting that is</w:delText>
        </w:r>
      </w:del>
      <w:ins w:id="52" w:author="Darrel Richardson" w:date="2010-05-10T13:52:00Z">
        <w:r w:rsidR="009D7059">
          <w:t>shall not be</w:t>
        </w:r>
      </w:ins>
      <w:r w:rsidR="000B6F46">
        <w:t xml:space="preserve"> more negative than </w:t>
      </w:r>
      <w:del w:id="53" w:author="Darrel Richardson" w:date="2010-05-10T13:53:00Z">
        <w:r w:rsidR="000B6F46" w:rsidDel="009D7059">
          <w:delText xml:space="preserve">the lesser of the Balancing Authority’s FRR or FRM, the fixed Frequency Bias Setting shall not be more negative than </w:delText>
        </w:r>
      </w:del>
      <w:r w:rsidR="000B6F46">
        <w:t xml:space="preserve">150% of the lesser of the Balancing </w:t>
      </w:r>
      <w:proofErr w:type="gramStart"/>
      <w:ins w:id="54" w:author="Darrel Richardson" w:date="2010-05-10T13:53:00Z">
        <w:r w:rsidR="009D7059">
          <w:t>A</w:t>
        </w:r>
      </w:ins>
      <w:proofErr w:type="gramEnd"/>
      <w:del w:id="55" w:author="Darrel Richardson" w:date="2010-05-10T13:53:00Z">
        <w:r w:rsidR="000B6F46" w:rsidDel="009D7059">
          <w:delText>a</w:delText>
        </w:r>
      </w:del>
      <w:r w:rsidR="000B6F46">
        <w:t>uthority’s FR</w:t>
      </w:r>
      <w:ins w:id="56" w:author="Darrel Richardson" w:date="2010-05-10T13:53:00Z">
        <w:r w:rsidR="009D7059">
          <w:t>O</w:t>
        </w:r>
      </w:ins>
      <w:del w:id="57" w:author="Darrel Richardson" w:date="2010-05-10T13:53:00Z">
        <w:r w:rsidR="000B6F46" w:rsidDel="009D7059">
          <w:delText>R</w:delText>
        </w:r>
      </w:del>
      <w:r w:rsidR="000B6F46">
        <w:t xml:space="preserve"> or FRM.</w:t>
      </w:r>
    </w:p>
    <w:p w:rsidR="00FC4AC4" w:rsidRDefault="000B6F46" w:rsidP="000B6F46">
      <w:pPr>
        <w:pStyle w:val="Requirement"/>
        <w:numPr>
          <w:ilvl w:val="1"/>
          <w:numId w:val="29"/>
        </w:numPr>
      </w:pPr>
      <w:r>
        <w:lastRenderedPageBreak/>
        <w:t xml:space="preserve">The Balancing Authority may use a variable (linear or non-linear) Frequency Bias Setting, which is based on a variable function of Tile Line Deviation to Frequency Deviation.  The Balancing Authority shall determine the variable </w:t>
      </w:r>
      <w:ins w:id="58" w:author="Darrel Richardson" w:date="2010-05-10T13:55:00Z">
        <w:r w:rsidR="009D7059">
          <w:t>F</w:t>
        </w:r>
      </w:ins>
      <w:del w:id="59" w:author="Darrel Richardson" w:date="2010-05-10T13:55:00Z">
        <w:r w:rsidDel="009D7059">
          <w:delText>f</w:delText>
        </w:r>
      </w:del>
      <w:r>
        <w:t xml:space="preserve">requency </w:t>
      </w:r>
      <w:ins w:id="60" w:author="Darrel Richardson" w:date="2010-05-10T13:55:00Z">
        <w:r w:rsidR="009D7059">
          <w:t>B</w:t>
        </w:r>
      </w:ins>
      <w:del w:id="61" w:author="Darrel Richardson" w:date="2010-05-10T13:55:00Z">
        <w:r w:rsidDel="009D7059">
          <w:delText>b</w:delText>
        </w:r>
      </w:del>
      <w:r>
        <w:t xml:space="preserve">ias </w:t>
      </w:r>
      <w:ins w:id="62" w:author="Darrel Richardson" w:date="2010-05-10T13:55:00Z">
        <w:r w:rsidR="009D7059">
          <w:t>Setting</w:t>
        </w:r>
      </w:ins>
      <w:del w:id="63" w:author="Darrel Richardson" w:date="2010-05-10T13:55:00Z">
        <w:r w:rsidDel="009D7059">
          <w:delText>value</w:delText>
        </w:r>
      </w:del>
      <w:r>
        <w:t xml:space="preserve"> by analyzing Frequency Response as it varies with factors such as load, generation, governor characteristics, and frequency.  The average of the variable Frequency Bias Setting shall be equal to, or more negative than the lesser of the Balancing Authority’s FR</w:t>
      </w:r>
      <w:ins w:id="64" w:author="Darrel Richardson" w:date="2010-05-10T13:56:00Z">
        <w:r w:rsidR="009D7059">
          <w:t>O</w:t>
        </w:r>
      </w:ins>
      <w:del w:id="65" w:author="Darrel Richardson" w:date="2010-05-10T13:56:00Z">
        <w:r w:rsidDel="009D7059">
          <w:delText>R</w:delText>
        </w:r>
      </w:del>
      <w:r>
        <w:t xml:space="preserve"> or FRM</w:t>
      </w:r>
      <w:del w:id="66" w:author="Darrel Richardson" w:date="2010-05-10T13:56:00Z">
        <w:r w:rsidDel="009D7059">
          <w:delText xml:space="preserve"> as determined by the Balancing Authority</w:delText>
        </w:r>
      </w:del>
      <w:r>
        <w:t>.</w:t>
      </w:r>
    </w:p>
    <w:p w:rsidR="00411AD6" w:rsidRDefault="009D7059" w:rsidP="000B6F46">
      <w:pPr>
        <w:pStyle w:val="Requirement"/>
        <w:numPr>
          <w:ilvl w:val="2"/>
          <w:numId w:val="29"/>
        </w:numPr>
      </w:pPr>
      <w:ins w:id="67" w:author="Darrel Richardson" w:date="2010-05-10T13:57:00Z">
        <w:r>
          <w:t xml:space="preserve">The </w:t>
        </w:r>
      </w:ins>
      <w:del w:id="68" w:author="Darrel Richardson" w:date="2010-05-10T13:57:00Z">
        <w:r w:rsidR="000B6F46" w:rsidDel="009D7059">
          <w:delText xml:space="preserve">If the Balancing Authority chooses to establish an average variable Frequency Bias Setting that is more negative than the lesser of the Balancing Authority’s FRR or FRM, the </w:delText>
        </w:r>
      </w:del>
      <w:r w:rsidR="000B6F46">
        <w:t>average variable Frequency Response B</w:t>
      </w:r>
      <w:r w:rsidR="00875FE4">
        <w:t>i</w:t>
      </w:r>
      <w:r w:rsidR="000B6F46">
        <w:t>as Setting shall not be more negative than 150% of the lesser of the Balancing Authority’s FR</w:t>
      </w:r>
      <w:ins w:id="69" w:author="Darrel Richardson" w:date="2010-05-10T13:57:00Z">
        <w:r>
          <w:t>O</w:t>
        </w:r>
      </w:ins>
      <w:del w:id="70" w:author="Darrel Richardson" w:date="2010-05-10T13:57:00Z">
        <w:r w:rsidR="000B6F46" w:rsidDel="009D7059">
          <w:delText>R</w:delText>
        </w:r>
      </w:del>
      <w:r w:rsidR="000B6F46">
        <w:t xml:space="preserve"> or FRM.</w:t>
      </w:r>
    </w:p>
    <w:p w:rsidR="005C71EB" w:rsidDel="009D7059" w:rsidRDefault="005C71EB" w:rsidP="009D7059">
      <w:pPr>
        <w:pStyle w:val="Requirement"/>
        <w:numPr>
          <w:ilvl w:val="0"/>
          <w:numId w:val="0"/>
        </w:numPr>
        <w:ind w:left="936" w:hanging="576"/>
        <w:rPr>
          <w:del w:id="71" w:author="Darrel Richardson" w:date="2010-05-10T13:58:00Z"/>
        </w:rPr>
      </w:pPr>
      <w:del w:id="72" w:author="Darrel Richardson" w:date="2010-05-10T13:57:00Z">
        <w:r w:rsidDel="009D7059">
          <w:delText>Each Balancing Authority shall report its Frequency Bias Setting, and method for determining that setting, to the NERC Resources Subcommittee.</w:delText>
        </w:r>
      </w:del>
    </w:p>
    <w:p w:rsidR="005209B6" w:rsidRDefault="005209B6" w:rsidP="000B6F46">
      <w:pPr>
        <w:pStyle w:val="Requirement"/>
        <w:numPr>
          <w:ilvl w:val="0"/>
          <w:numId w:val="29"/>
        </w:numPr>
      </w:pPr>
      <w:r>
        <w:t xml:space="preserve">Each Balancing Authority shall </w:t>
      </w:r>
      <w:r w:rsidR="00875FE4">
        <w:t>operate its Automatic Generation Control (AGC) on Tie Line Bias, unless such operation is adverse to the Balancing Authority’s system reliability.  A single Balancing Authority interconnection may operate its AGC using Flat Frequency Control, unless such operation is adverse to the Balancing authority’s system reliability</w:t>
      </w:r>
      <w:r>
        <w:t xml:space="preserve">: </w:t>
      </w:r>
      <w:r w:rsidRPr="00961ACC">
        <w:rPr>
          <w:i/>
        </w:rPr>
        <w:t xml:space="preserve">[Risk Factor: </w:t>
      </w:r>
      <w:r>
        <w:rPr>
          <w:i/>
        </w:rPr>
        <w:t>High</w:t>
      </w:r>
      <w:r w:rsidRPr="00961ACC">
        <w:rPr>
          <w:i/>
        </w:rPr>
        <w:t>][Time Horizon: Real-time Operations]</w:t>
      </w:r>
    </w:p>
    <w:p w:rsidR="005209B6" w:rsidRDefault="005209B6" w:rsidP="005209B6">
      <w:pPr>
        <w:pStyle w:val="Requirement"/>
        <w:numPr>
          <w:ilvl w:val="0"/>
          <w:numId w:val="0"/>
        </w:numPr>
        <w:ind w:left="936" w:hanging="576"/>
      </w:pPr>
    </w:p>
    <w:p w:rsidR="00E1757C" w:rsidRDefault="00E1757C" w:rsidP="005B09F6">
      <w:pPr>
        <w:pStyle w:val="Section"/>
      </w:pPr>
      <w:r>
        <w:t>Measures</w:t>
      </w:r>
    </w:p>
    <w:p w:rsidR="00316417" w:rsidRDefault="00316417" w:rsidP="00316417">
      <w:pPr>
        <w:pStyle w:val="Measure"/>
        <w:rPr>
          <w:ins w:id="73" w:author="Darrel Richardson" w:date="2010-05-10T14:04:00Z"/>
        </w:rPr>
      </w:pPr>
      <w:ins w:id="74" w:author="Darrel Richardson" w:date="2010-05-10T14:04:00Z">
        <w:r>
          <w:t xml:space="preserve">Each Balancing Authority shall </w:t>
        </w:r>
        <w:r w:rsidRPr="00C07663">
          <w:t xml:space="preserve">report its </w:t>
        </w:r>
        <w:r>
          <w:t xml:space="preserve">measured FRM, calculated </w:t>
        </w:r>
        <w:r w:rsidRPr="00C07663">
          <w:t xml:space="preserve">in accordance with </w:t>
        </w:r>
        <w:r>
          <w:t>Requirement 1,</w:t>
        </w:r>
        <w:r w:rsidRPr="00C07663">
          <w:t xml:space="preserve"> for </w:t>
        </w:r>
        <w:r>
          <w:t>12</w:t>
        </w:r>
        <w:r w:rsidRPr="00C07663">
          <w:t xml:space="preserve"> calendar </w:t>
        </w:r>
        <w:r>
          <w:t>months ending September 30 b</w:t>
        </w:r>
        <w:r w:rsidRPr="00C07663">
          <w:t xml:space="preserve">y </w:t>
        </w:r>
        <w:r>
          <w:t xml:space="preserve">October 31. However, this deadline shall be extended as necessary to provide the Balancing Authority no less than 15 calendar days following the day it receives a list of frequency events for the prior month to provide sufficient time for submitting such report. </w:t>
        </w:r>
        <w:r>
          <w:br/>
        </w:r>
        <w:r>
          <w:br/>
          <w:t xml:space="preserve">Each Balancing Authority shall </w:t>
        </w:r>
        <w:r w:rsidRPr="00C07663">
          <w:t xml:space="preserve">report its </w:t>
        </w:r>
        <w:r>
          <w:t xml:space="preserve">SEFRM, calculated </w:t>
        </w:r>
        <w:r w:rsidRPr="00C07663">
          <w:t xml:space="preserve">in accordance with </w:t>
        </w:r>
        <w:r>
          <w:t>Requirement 1,</w:t>
        </w:r>
        <w:r w:rsidRPr="00C07663">
          <w:t xml:space="preserve"> for </w:t>
        </w:r>
        <w:r>
          <w:t>the prior 3 calendar months b</w:t>
        </w:r>
        <w:r w:rsidRPr="00C07663">
          <w:t xml:space="preserve">y </w:t>
        </w:r>
        <w:r>
          <w:t>January 31, April 30, July 31, and October 31. However, these deadlines shall be extended as necessary to provide the Balancing Authority no less than 15 calendar days following the day it receives a list of frequency events for the prior month to provide sufficient time for submitting such report.</w:t>
        </w:r>
      </w:ins>
    </w:p>
    <w:p w:rsidR="00316417" w:rsidRDefault="00316417" w:rsidP="00316417">
      <w:pPr>
        <w:pStyle w:val="Measure"/>
        <w:rPr>
          <w:ins w:id="75" w:author="Darrel Richardson" w:date="2010-05-10T14:04:00Z"/>
        </w:rPr>
      </w:pPr>
      <w:ins w:id="76" w:author="Darrel Richardson" w:date="2010-05-10T14:04:00Z">
        <w:r>
          <w:t xml:space="preserve">The ERO shall provide each Balancing Authority with its allocated FRO, which will be effective during the following calendar year, by February 1 of the current year.  </w:t>
        </w:r>
        <w:r>
          <w:br/>
        </w:r>
        <w:r>
          <w:br/>
          <w:t>The Resources Subcommittee shall provide each Balancing Authority with a list of designated frequency events for the prior calendar month by the 15</w:t>
        </w:r>
        <w:r w:rsidRPr="00C06C81">
          <w:rPr>
            <w:vertAlign w:val="superscript"/>
          </w:rPr>
          <w:t>th</w:t>
        </w:r>
        <w:r>
          <w:t xml:space="preserve"> calendar day of each month. </w:t>
        </w:r>
      </w:ins>
    </w:p>
    <w:p w:rsidR="00316417" w:rsidRDefault="00316417" w:rsidP="00316417">
      <w:pPr>
        <w:pStyle w:val="Measure"/>
        <w:tabs>
          <w:tab w:val="clear" w:pos="360"/>
          <w:tab w:val="num" w:pos="1692"/>
        </w:tabs>
        <w:rPr>
          <w:ins w:id="77" w:author="Darrel Richardson" w:date="2010-05-10T14:04:00Z"/>
        </w:rPr>
      </w:pPr>
      <w:ins w:id="78" w:author="Darrel Richardson" w:date="2010-05-10T14:04:00Z">
        <w:r>
          <w:t xml:space="preserve">Each Balancing Authority shall </w:t>
        </w:r>
        <w:r w:rsidRPr="00C07663">
          <w:t xml:space="preserve">report its </w:t>
        </w:r>
        <w:r>
          <w:t xml:space="preserve">Frequency Bias Setting, whether it is using a fixed or variable Frequency Bias Setting, and/or the method used to determine its Frequency Bias Setting by November 1 of each year to the NERC Resources Subcommittee.  </w:t>
        </w:r>
        <w:r>
          <w:br/>
        </w:r>
        <w:r>
          <w:br/>
          <w:t xml:space="preserve">The Resources Subcommittee shall provide each Balancing Authority with factors that are calculated using Frequency Bias Settings by December 15. </w:t>
        </w:r>
        <w:r>
          <w:br/>
        </w:r>
        <w:r>
          <w:br/>
        </w:r>
        <w:r>
          <w:lastRenderedPageBreak/>
          <w:t xml:space="preserve">The Each Balancing Authority shall retain documentation, and provide this documentation upon request, demonstrating that the Balancing Authority implemented its Frequency Bias Setting into its ACE calculation and implemented other factors dependent upon Frequency Bias Settings at 0001 on January 1 each year. </w:t>
        </w:r>
        <w:r>
          <w:br/>
        </w:r>
        <w:r>
          <w:br/>
          <w:t xml:space="preserve">If a Balancing Authority initiates changes to its Frequency Bias Setting, whether it is using a fixed or variable Frequency Bias Setting, and/or its method used to determine its Frequency Bias Setting during the year: </w:t>
        </w:r>
      </w:ins>
    </w:p>
    <w:p w:rsidR="00316417" w:rsidRDefault="00316417" w:rsidP="00316417">
      <w:pPr>
        <w:pStyle w:val="Measure"/>
        <w:numPr>
          <w:ilvl w:val="0"/>
          <w:numId w:val="31"/>
        </w:numPr>
        <w:rPr>
          <w:ins w:id="79" w:author="Darrel Richardson" w:date="2010-05-10T14:04:00Z"/>
        </w:rPr>
      </w:pPr>
      <w:ins w:id="80" w:author="Darrel Richardson" w:date="2010-05-10T14:04:00Z">
        <w:r>
          <w:t xml:space="preserve">The Balancing Authority changing </w:t>
        </w:r>
        <w:r w:rsidRPr="00C07663">
          <w:t xml:space="preserve">its </w:t>
        </w:r>
        <w:r>
          <w:t>Frequency Bias Setting, whether it is using a fixed or variable Frequency Bias Setting, and/or the method used to determine its Frequency Bias Setting shall retain documentation, and provide this documentation upon request, demonstrating that the Balancing Authority received concurrence for the change from the NERC Resources Subcommittee.</w:t>
        </w:r>
        <w:r>
          <w:br/>
        </w:r>
        <w:r>
          <w:br/>
          <w:t xml:space="preserve">This Balancing Authority shall report </w:t>
        </w:r>
        <w:r w:rsidRPr="00C07663">
          <w:t xml:space="preserve">its </w:t>
        </w:r>
        <w:r>
          <w:t xml:space="preserve">Frequency Bias Setting, whether it is using a fixed or variable Frequency Bias Setting, and/or the method used to determine its Frequency Bias Setting within 5 days of making this determination to the NERC Resources Subcommittee. </w:t>
        </w:r>
      </w:ins>
    </w:p>
    <w:p w:rsidR="00316417" w:rsidRDefault="00316417" w:rsidP="00316417">
      <w:pPr>
        <w:pStyle w:val="Measure"/>
        <w:numPr>
          <w:ilvl w:val="0"/>
          <w:numId w:val="31"/>
        </w:numPr>
        <w:rPr>
          <w:ins w:id="81" w:author="Darrel Richardson" w:date="2010-05-10T14:04:00Z"/>
        </w:rPr>
      </w:pPr>
      <w:ins w:id="82" w:author="Darrel Richardson" w:date="2010-05-10T14:04:00Z">
        <w:r>
          <w:t xml:space="preserve">The Resources Subcommittee shall provide each Balancing Authority with factors that are calculated using Frequency Bias Settings, and with the date and time these settings are to be effective in ACE and reporting calculations. The effective date must provide at least 10 calendar days between provision of information and effective date for the new settings.  </w:t>
        </w:r>
      </w:ins>
    </w:p>
    <w:p w:rsidR="00316417" w:rsidRDefault="00316417" w:rsidP="00316417">
      <w:pPr>
        <w:pStyle w:val="Measure"/>
        <w:numPr>
          <w:ilvl w:val="0"/>
          <w:numId w:val="31"/>
        </w:numPr>
        <w:rPr>
          <w:ins w:id="83" w:author="Darrel Richardson" w:date="2010-05-10T14:04:00Z"/>
        </w:rPr>
      </w:pPr>
      <w:ins w:id="84" w:author="Darrel Richardson" w:date="2010-05-10T14:04:00Z">
        <w:r>
          <w:t xml:space="preserve">Each Balancing Authority 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 </w:t>
        </w:r>
      </w:ins>
    </w:p>
    <w:p w:rsidR="00316417" w:rsidRDefault="00316417" w:rsidP="00316417">
      <w:pPr>
        <w:pStyle w:val="Measure"/>
        <w:numPr>
          <w:ilvl w:val="1"/>
          <w:numId w:val="4"/>
        </w:numPr>
        <w:rPr>
          <w:ins w:id="85" w:author="Darrel Richardson" w:date="2010-05-10T14:04:00Z"/>
        </w:rPr>
      </w:pPr>
      <w:ins w:id="86" w:author="Darrel Richardson" w:date="2010-05-10T14:04:00Z">
        <w:r>
          <w:t xml:space="preserve">Each Balancing Authority shall retain documentation, and provide this documentation upon request, demonstrating the relationship between its Frequency Bias Setting, FRO, and FRM used to determine its setting. </w:t>
        </w:r>
      </w:ins>
    </w:p>
    <w:p w:rsidR="00316417" w:rsidRDefault="00316417" w:rsidP="00316417">
      <w:pPr>
        <w:pStyle w:val="Measure"/>
        <w:numPr>
          <w:ilvl w:val="2"/>
          <w:numId w:val="4"/>
        </w:numPr>
        <w:rPr>
          <w:ins w:id="87" w:author="Darrel Richardson" w:date="2010-05-10T14:04:00Z"/>
        </w:rPr>
      </w:pPr>
      <w:ins w:id="88" w:author="Darrel Richardson" w:date="2010-05-10T14:04:00Z">
        <w:r>
          <w:t>Each Balancing Authority utilizing a Fixed Frequency Bias shall provide evidence that:</w:t>
        </w:r>
      </w:ins>
    </w:p>
    <w:p w:rsidR="00316417" w:rsidRPr="00DC438B" w:rsidRDefault="00316417" w:rsidP="00316417">
      <w:pPr>
        <w:pStyle w:val="Measure"/>
        <w:numPr>
          <w:ilvl w:val="3"/>
          <w:numId w:val="30"/>
        </w:numPr>
        <w:ind w:left="3600" w:hanging="1008"/>
        <w:rPr>
          <w:ins w:id="89" w:author="Darrel Richardson" w:date="2010-05-10T14:04:00Z"/>
        </w:rPr>
      </w:pPr>
      <w:ins w:id="90" w:author="Darrel Richardson" w:date="2010-05-10T14:04:00Z">
        <w:r w:rsidRPr="00DC438B">
          <w:t xml:space="preserve">The Fixed Frequency Bias implemented was </w:t>
        </w:r>
        <w:r>
          <w:t xml:space="preserve">not less </w:t>
        </w:r>
        <w:r w:rsidRPr="00DC438B">
          <w:t>negative than the lesser of the Balancing Authority’s FR</w:t>
        </w:r>
        <w:r>
          <w:t>O</w:t>
        </w:r>
        <w:r w:rsidRPr="00DC438B">
          <w:t xml:space="preserve"> or FRM. </w:t>
        </w:r>
      </w:ins>
    </w:p>
    <w:p w:rsidR="00316417" w:rsidRPr="00DC438B" w:rsidRDefault="00316417" w:rsidP="00316417">
      <w:pPr>
        <w:pStyle w:val="Measure"/>
        <w:numPr>
          <w:ilvl w:val="3"/>
          <w:numId w:val="30"/>
        </w:numPr>
        <w:ind w:left="3600" w:hanging="1008"/>
        <w:rPr>
          <w:ins w:id="91" w:author="Darrel Richardson" w:date="2010-05-10T14:04:00Z"/>
        </w:rPr>
      </w:pPr>
      <w:ins w:id="92" w:author="Darrel Richardson" w:date="2010-05-10T14:04:00Z">
        <w:r w:rsidRPr="00DC438B">
          <w:t>The Fixed Frequency Bias implemented was not more negative than 150% of the lesser of the Balancing Authority’s FRR or FRM.</w:t>
        </w:r>
      </w:ins>
    </w:p>
    <w:p w:rsidR="00316417" w:rsidRDefault="00316417" w:rsidP="00316417">
      <w:pPr>
        <w:pStyle w:val="Measure"/>
        <w:numPr>
          <w:ilvl w:val="2"/>
          <w:numId w:val="4"/>
        </w:numPr>
        <w:rPr>
          <w:ins w:id="93" w:author="Darrel Richardson" w:date="2010-05-10T14:04:00Z"/>
        </w:rPr>
      </w:pPr>
      <w:ins w:id="94" w:author="Darrel Richardson" w:date="2010-05-10T14:04:00Z">
        <w:r>
          <w:t>Each Balancing Authority utilizing a Variable Frequency Bias shall provide evidence that:</w:t>
        </w:r>
      </w:ins>
    </w:p>
    <w:p w:rsidR="00A65E4A" w:rsidRDefault="00316417" w:rsidP="00316417">
      <w:pPr>
        <w:pStyle w:val="Measure"/>
        <w:numPr>
          <w:ilvl w:val="3"/>
          <w:numId w:val="30"/>
        </w:numPr>
        <w:ind w:left="3600" w:hanging="1008"/>
        <w:rPr>
          <w:ins w:id="95" w:author="Darrel Richardson" w:date="2010-05-10T14:09:00Z"/>
        </w:rPr>
        <w:pPrChange w:id="96" w:author="Darrel Richardson" w:date="2010-05-10T14:09:00Z">
          <w:pPr>
            <w:pStyle w:val="Measure"/>
            <w:numPr>
              <w:ilvl w:val="3"/>
              <w:numId w:val="30"/>
            </w:numPr>
            <w:tabs>
              <w:tab w:val="clear" w:pos="360"/>
              <w:tab w:val="num" w:pos="3042"/>
            </w:tabs>
            <w:ind w:left="4698" w:hanging="1728"/>
          </w:pPr>
        </w:pPrChange>
      </w:pPr>
      <w:ins w:id="97" w:author="Darrel Richardson" w:date="2010-05-10T14:04:00Z">
        <w:r>
          <w:lastRenderedPageBreak/>
          <w:t>The {some kind of relationship here} of the Variable Frequency Bias implemented was not less negative than the lesser of the Balancing Authority’s FRO or FRM.</w:t>
        </w:r>
      </w:ins>
    </w:p>
    <w:p w:rsidR="00316417" w:rsidRDefault="00316417" w:rsidP="00316417">
      <w:pPr>
        <w:pStyle w:val="Measure"/>
        <w:numPr>
          <w:ilvl w:val="3"/>
          <w:numId w:val="30"/>
        </w:numPr>
        <w:ind w:left="3600" w:hanging="1008"/>
        <w:rPr>
          <w:ins w:id="98" w:author="Darrel Richardson" w:date="2010-05-10T14:04:00Z"/>
        </w:rPr>
        <w:pPrChange w:id="99" w:author="Darrel Richardson" w:date="2010-05-10T14:09:00Z">
          <w:pPr>
            <w:pStyle w:val="Measure"/>
            <w:numPr>
              <w:ilvl w:val="3"/>
              <w:numId w:val="30"/>
            </w:numPr>
            <w:tabs>
              <w:tab w:val="clear" w:pos="360"/>
              <w:tab w:val="num" w:pos="3042"/>
            </w:tabs>
            <w:ind w:left="4698" w:hanging="1728"/>
          </w:pPr>
        </w:pPrChange>
      </w:pPr>
      <w:ins w:id="100" w:author="Darrel Richardson" w:date="2010-05-10T14:04:00Z">
        <w:r>
          <w:t>The {some kind of relationship here} of the Variable Frequency Bias implemented was not more negative than 150% of the lesser of the Balancing Authority’s FRO or FRM.</w:t>
        </w:r>
      </w:ins>
    </w:p>
    <w:p w:rsidR="00316417" w:rsidRDefault="00316417" w:rsidP="00316417">
      <w:pPr>
        <w:pStyle w:val="Measure"/>
        <w:rPr>
          <w:ins w:id="101" w:author="Darrel Richardson" w:date="2010-05-10T14:04:00Z"/>
        </w:rPr>
      </w:pPr>
      <w:ins w:id="102" w:author="Darrel Richardson" w:date="2010-05-10T14:04:00Z">
        <w:r w:rsidRPr="007C5CFA">
          <w:t xml:space="preserve"> </w:t>
        </w:r>
        <w:r>
          <w:t xml:space="preserve">Each Balancing Authority shall retain documentation, and provide this documentation upon request, demonstrating it operated its Automatic Generation Control (AGC) on Tie Line Bias, or Flat Frequency Control if it is a single Balancing Authority Interconnection.  </w:t>
        </w:r>
        <w:r>
          <w:br/>
        </w:r>
        <w:r>
          <w:br/>
          <w:t xml:space="preserve">Each Balancing Authority shall retain documentation, and provide this documentation upon request, demonstrating periods when it operated in another AGC mode and demonstrating how operation in the required AGC mode was adverse to the Balancing Authority’s system reliability. </w:t>
        </w:r>
      </w:ins>
    </w:p>
    <w:p w:rsidR="00886081" w:rsidRPr="002D3465" w:rsidDel="00A65E4A" w:rsidRDefault="00886081" w:rsidP="00A65E4A">
      <w:pPr>
        <w:pStyle w:val="Measure"/>
        <w:numPr>
          <w:ilvl w:val="0"/>
          <w:numId w:val="0"/>
        </w:numPr>
        <w:ind w:left="936" w:hanging="576"/>
        <w:rPr>
          <w:del w:id="103" w:author="Darrel Richardson" w:date="2010-05-10T14:11:00Z"/>
          <w:color w:val="FF0000"/>
        </w:rPr>
      </w:pPr>
    </w:p>
    <w:p w:rsidR="00E1757C" w:rsidRDefault="00E1757C" w:rsidP="00E1757C">
      <w:pPr>
        <w:pStyle w:val="Section"/>
      </w:pPr>
      <w:r>
        <w:t>Compliance</w:t>
      </w:r>
    </w:p>
    <w:p w:rsidR="009C2375" w:rsidRDefault="009C2375" w:rsidP="009C2375">
      <w:pPr>
        <w:pStyle w:val="ListNumber"/>
        <w:numPr>
          <w:ilvl w:val="0"/>
          <w:numId w:val="3"/>
        </w:numPr>
        <w:rPr>
          <w:b/>
        </w:rPr>
      </w:pPr>
      <w:r w:rsidRPr="00253F19">
        <w:rPr>
          <w:b/>
        </w:rPr>
        <w:t>Compliance Monitoring Process</w:t>
      </w:r>
    </w:p>
    <w:p w:rsidR="0023786A" w:rsidRDefault="0023786A" w:rsidP="0023786A">
      <w:pPr>
        <w:pStyle w:val="ListNumber"/>
        <w:numPr>
          <w:ilvl w:val="1"/>
          <w:numId w:val="3"/>
        </w:numPr>
        <w:rPr>
          <w:b/>
        </w:rPr>
      </w:pPr>
      <w:r>
        <w:rPr>
          <w:b/>
        </w:rPr>
        <w:t xml:space="preserve">Compliance Monitoring </w:t>
      </w:r>
      <w:r w:rsidR="004F1B78">
        <w:rPr>
          <w:b/>
        </w:rPr>
        <w:t>Authority</w:t>
      </w:r>
    </w:p>
    <w:p w:rsidR="0023786A" w:rsidRDefault="0054537C" w:rsidP="00D15C6E">
      <w:pPr>
        <w:pStyle w:val="BodyIndent2"/>
      </w:pPr>
      <w:r>
        <w:rPr>
          <w:szCs w:val="22"/>
        </w:rPr>
        <w:t>T</w:t>
      </w:r>
      <w:r w:rsidR="00D15C6E">
        <w:rPr>
          <w:szCs w:val="22"/>
        </w:rPr>
        <w:t>he Regional Entity shall serve as the Compliance Enforcement Authority.</w:t>
      </w:r>
    </w:p>
    <w:p w:rsidR="0023786A" w:rsidRPr="0023786A" w:rsidRDefault="005730A6" w:rsidP="0023786A">
      <w:pPr>
        <w:pStyle w:val="ListNumber"/>
        <w:numPr>
          <w:ilvl w:val="1"/>
          <w:numId w:val="1"/>
        </w:numPr>
      </w:pPr>
      <w:r>
        <w:rPr>
          <w:b/>
        </w:rPr>
        <w:t>Compliance Monitoring Period</w:t>
      </w:r>
      <w:r w:rsidR="0023786A">
        <w:rPr>
          <w:b/>
        </w:rPr>
        <w:t xml:space="preserve"> and Reset</w:t>
      </w:r>
    </w:p>
    <w:p w:rsidR="0023786A" w:rsidRDefault="00D15C6E" w:rsidP="00A428E1">
      <w:pPr>
        <w:pStyle w:val="BodyIndent2"/>
      </w:pPr>
      <w:r>
        <w:t>Not Applicable</w:t>
      </w:r>
    </w:p>
    <w:p w:rsidR="003D6B35" w:rsidRPr="007C5A6D" w:rsidRDefault="003D6B35" w:rsidP="003D6B35">
      <w:pPr>
        <w:pStyle w:val="ListNumber"/>
        <w:numPr>
          <w:ilvl w:val="1"/>
          <w:numId w:val="1"/>
        </w:numPr>
        <w:rPr>
          <w:b/>
        </w:rPr>
      </w:pPr>
      <w:r w:rsidRPr="007C5A6D">
        <w:rPr>
          <w:b/>
        </w:rPr>
        <w:t>Compliance Monitoring and Enforcement Processes:</w:t>
      </w:r>
    </w:p>
    <w:p w:rsidR="003D6B35" w:rsidRPr="007C5A6D" w:rsidRDefault="003D6B35" w:rsidP="003D6B35">
      <w:pPr>
        <w:ind w:left="1440"/>
      </w:pPr>
      <w:r w:rsidRPr="007C5A6D">
        <w:t>Compliance Audits</w:t>
      </w:r>
    </w:p>
    <w:p w:rsidR="003D6B35" w:rsidRPr="007C5A6D" w:rsidRDefault="003D6B35" w:rsidP="003D6B35">
      <w:pPr>
        <w:ind w:left="1440"/>
      </w:pPr>
      <w:r w:rsidRPr="007C5A6D">
        <w:t>Self-Certifications</w:t>
      </w:r>
    </w:p>
    <w:p w:rsidR="003D6B35" w:rsidRPr="007C5A6D" w:rsidRDefault="003D6B35" w:rsidP="003D6B35">
      <w:pPr>
        <w:ind w:left="1440"/>
      </w:pPr>
      <w:r w:rsidRPr="007C5A6D">
        <w:t>Spot Checking</w:t>
      </w:r>
    </w:p>
    <w:p w:rsidR="003D6B35" w:rsidRPr="007C5A6D" w:rsidRDefault="003D6B35" w:rsidP="003D6B35">
      <w:pPr>
        <w:ind w:left="1440"/>
      </w:pPr>
      <w:r w:rsidRPr="007C5A6D">
        <w:t>Compliance Violation Investigations</w:t>
      </w:r>
    </w:p>
    <w:p w:rsidR="003D6B35" w:rsidRPr="007C5A6D" w:rsidRDefault="003D6B35" w:rsidP="003D6B35">
      <w:pPr>
        <w:ind w:left="1440"/>
      </w:pPr>
      <w:r w:rsidRPr="007C5A6D">
        <w:t>Self-Reporting</w:t>
      </w:r>
    </w:p>
    <w:p w:rsidR="003D6B35" w:rsidRPr="007C5A6D" w:rsidRDefault="003D6B35" w:rsidP="003D6B35">
      <w:pPr>
        <w:ind w:left="1440"/>
      </w:pPr>
      <w:r w:rsidRPr="007C5A6D">
        <w:t>Complaints</w:t>
      </w:r>
    </w:p>
    <w:p w:rsidR="0023786A" w:rsidRDefault="0023786A" w:rsidP="0023786A">
      <w:pPr>
        <w:pStyle w:val="ListNumber"/>
        <w:numPr>
          <w:ilvl w:val="1"/>
          <w:numId w:val="1"/>
        </w:numPr>
        <w:rPr>
          <w:b/>
        </w:rPr>
      </w:pPr>
      <w:r w:rsidRPr="0023786A">
        <w:rPr>
          <w:b/>
        </w:rPr>
        <w:t>Data Retention</w:t>
      </w:r>
    </w:p>
    <w:p w:rsidR="003D6B35" w:rsidRDefault="003D6B35" w:rsidP="004F1B78">
      <w:pPr>
        <w:pStyle w:val="ListNumber"/>
        <w:numPr>
          <w:ilvl w:val="0"/>
          <w:numId w:val="0"/>
        </w:numPr>
        <w:ind w:left="1440"/>
      </w:pPr>
      <w:r>
        <w:t>Each</w:t>
      </w:r>
      <w:r w:rsidRPr="007C5A6D">
        <w:t xml:space="preserve"> </w:t>
      </w:r>
      <w:r w:rsidR="003B0627">
        <w:t xml:space="preserve">Balancing Authority </w:t>
      </w:r>
      <w:r w:rsidRPr="007C5A6D">
        <w:t>shall keep data or evidence to show compliance</w:t>
      </w:r>
      <w:r w:rsidR="00D15C6E">
        <w:t xml:space="preserve"> for three years or since its last compliance audit</w:t>
      </w:r>
      <w:r w:rsidR="00BF4CEA">
        <w:t>, w</w:t>
      </w:r>
      <w:r w:rsidR="00D15C6E">
        <w:t>hichever time frame is the greatest</w:t>
      </w:r>
      <w:r>
        <w:t>,</w:t>
      </w:r>
      <w:r w:rsidRPr="007C5A6D">
        <w:t xml:space="preserve"> unless directed by its Compliance Enforcement Authority to retain specific evidence for a longer period of time as part of an investigation</w:t>
      </w:r>
      <w:r w:rsidR="00BF4CEA">
        <w:t>.</w:t>
      </w:r>
    </w:p>
    <w:p w:rsidR="00D15C6E" w:rsidRPr="002331CD" w:rsidRDefault="00D15C6E" w:rsidP="00D15C6E">
      <w:pPr>
        <w:ind w:left="1440"/>
      </w:pPr>
      <w:r w:rsidRPr="002331CD">
        <w:t>If a Balancing Authority is found non-compliant, it shall keep information related to the non-compliance until found compliant</w:t>
      </w:r>
      <w:r w:rsidR="00A44C0D">
        <w:t xml:space="preserve"> or the time period specified above, whichever is longer</w:t>
      </w:r>
      <w:r w:rsidRPr="002331CD">
        <w:t xml:space="preserve">. </w:t>
      </w:r>
    </w:p>
    <w:p w:rsidR="004F1B78" w:rsidRDefault="004F1B78" w:rsidP="004F1B78">
      <w:pPr>
        <w:pStyle w:val="ListNumber"/>
        <w:numPr>
          <w:ilvl w:val="0"/>
          <w:numId w:val="0"/>
        </w:numPr>
        <w:ind w:left="1440"/>
      </w:pPr>
      <w:r>
        <w:lastRenderedPageBreak/>
        <w:t>The Compliance Enforcement Authority shall keep the last audit records and all requested and submitted subsequent records.</w:t>
      </w:r>
      <w:r>
        <w:tab/>
      </w:r>
    </w:p>
    <w:p w:rsidR="0023786A" w:rsidRPr="00E1670A" w:rsidRDefault="0023786A" w:rsidP="0023786A">
      <w:pPr>
        <w:pStyle w:val="ListNumber"/>
        <w:numPr>
          <w:ilvl w:val="1"/>
          <w:numId w:val="1"/>
        </w:numPr>
        <w:rPr>
          <w:b/>
        </w:rPr>
      </w:pPr>
      <w:r w:rsidRPr="00E1670A">
        <w:rPr>
          <w:b/>
        </w:rPr>
        <w:t>Additional Compliance Information</w:t>
      </w:r>
    </w:p>
    <w:p w:rsidR="00474206" w:rsidRDefault="003D6B35" w:rsidP="00D1354F">
      <w:pPr>
        <w:pStyle w:val="ListNumber"/>
        <w:numPr>
          <w:ilvl w:val="0"/>
          <w:numId w:val="0"/>
        </w:numPr>
        <w:ind w:left="1440"/>
      </w:pPr>
      <w:r>
        <w:t>None</w:t>
      </w:r>
      <w:r w:rsidRPr="003E478F">
        <w:t xml:space="preserve">. </w:t>
      </w:r>
    </w:p>
    <w:p w:rsidR="009C2375" w:rsidRDefault="00474206" w:rsidP="00474206">
      <w:pPr>
        <w:pStyle w:val="ListNumber"/>
        <w:numPr>
          <w:ilvl w:val="0"/>
          <w:numId w:val="0"/>
        </w:numPr>
        <w:ind w:left="180"/>
        <w:rPr>
          <w:b/>
        </w:rPr>
      </w:pPr>
      <w:r w:rsidRPr="00474206">
        <w:rPr>
          <w:b/>
        </w:rPr>
        <w:t>2.0</w:t>
      </w:r>
      <w:r>
        <w:t xml:space="preserve">  </w:t>
      </w:r>
      <w:r w:rsidR="00FC17BC">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0"/>
        <w:gridCol w:w="2160"/>
        <w:gridCol w:w="1528"/>
        <w:gridCol w:w="1890"/>
        <w:gridCol w:w="3422"/>
      </w:tblGrid>
      <w:tr w:rsidR="003D6B35" w:rsidRPr="00110BC7" w:rsidTr="00134CDF">
        <w:tc>
          <w:tcPr>
            <w:tcW w:w="900" w:type="dxa"/>
            <w:shd w:val="clear" w:color="auto" w:fill="5D85A9"/>
          </w:tcPr>
          <w:p w:rsidR="003D6B35" w:rsidRPr="00110BC7" w:rsidRDefault="003D6B35"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3D6B35" w:rsidRPr="00110BC7" w:rsidRDefault="003D6B35" w:rsidP="008057E9">
            <w:pPr>
              <w:pStyle w:val="BodyIndent2"/>
              <w:spacing w:before="120"/>
              <w:ind w:left="0"/>
              <w:jc w:val="center"/>
              <w:rPr>
                <w:rFonts w:ascii="Arial" w:hAnsi="Arial" w:cs="Arial"/>
                <w:b/>
                <w:color w:val="FFFFFF"/>
                <w:sz w:val="20"/>
                <w:szCs w:val="20"/>
              </w:rPr>
            </w:pPr>
            <w:smartTag w:uri="urn:schemas-microsoft-com:office:smarttags" w:element="place">
              <w:r w:rsidRPr="00110BC7">
                <w:rPr>
                  <w:rFonts w:ascii="Arial" w:hAnsi="Arial" w:cs="Arial"/>
                  <w:b/>
                  <w:color w:val="FFFFFF"/>
                  <w:sz w:val="20"/>
                  <w:szCs w:val="20"/>
                </w:rPr>
                <w:t>Lower VSL</w:t>
              </w:r>
            </w:smartTag>
          </w:p>
        </w:tc>
        <w:tc>
          <w:tcPr>
            <w:tcW w:w="1528" w:type="dxa"/>
            <w:shd w:val="clear" w:color="auto" w:fill="5D85A9"/>
          </w:tcPr>
          <w:p w:rsidR="003D6B35" w:rsidRPr="00110BC7" w:rsidRDefault="003D6B35"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1890" w:type="dxa"/>
            <w:shd w:val="clear" w:color="auto" w:fill="5D85A9"/>
          </w:tcPr>
          <w:p w:rsidR="003D6B35" w:rsidRPr="00110BC7" w:rsidRDefault="003D6B35"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3422" w:type="dxa"/>
            <w:shd w:val="clear" w:color="auto" w:fill="5D85A9"/>
          </w:tcPr>
          <w:p w:rsidR="003D6B35" w:rsidRPr="00110BC7" w:rsidRDefault="003D6B35"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3D6B35" w:rsidRPr="00786FA1" w:rsidTr="00134CDF">
        <w:tc>
          <w:tcPr>
            <w:tcW w:w="900" w:type="dxa"/>
          </w:tcPr>
          <w:p w:rsidR="003D6B35" w:rsidRPr="00786FA1" w:rsidRDefault="003D6B35" w:rsidP="00733370">
            <w:pPr>
              <w:pStyle w:val="ListNumber"/>
              <w:numPr>
                <w:ilvl w:val="0"/>
                <w:numId w:val="0"/>
              </w:numPr>
              <w:jc w:val="center"/>
              <w:rPr>
                <w:sz w:val="22"/>
                <w:szCs w:val="22"/>
              </w:rPr>
            </w:pPr>
            <w:r w:rsidRPr="00786FA1">
              <w:rPr>
                <w:sz w:val="22"/>
                <w:szCs w:val="22"/>
              </w:rPr>
              <w:t>R1</w:t>
            </w:r>
          </w:p>
        </w:tc>
        <w:tc>
          <w:tcPr>
            <w:tcW w:w="2160" w:type="dxa"/>
          </w:tcPr>
          <w:p w:rsidR="003D6B35" w:rsidRPr="00786FA1" w:rsidRDefault="003D6B35" w:rsidP="008057E9">
            <w:pPr>
              <w:pStyle w:val="ListNumber"/>
              <w:numPr>
                <w:ilvl w:val="0"/>
                <w:numId w:val="0"/>
              </w:numPr>
              <w:rPr>
                <w:sz w:val="22"/>
                <w:szCs w:val="22"/>
              </w:rPr>
            </w:pPr>
          </w:p>
        </w:tc>
        <w:tc>
          <w:tcPr>
            <w:tcW w:w="1528" w:type="dxa"/>
          </w:tcPr>
          <w:p w:rsidR="003D6B35" w:rsidRPr="00786FA1" w:rsidRDefault="003D6B35" w:rsidP="008057E9">
            <w:pPr>
              <w:pStyle w:val="ListNumber"/>
              <w:numPr>
                <w:ilvl w:val="0"/>
                <w:numId w:val="0"/>
              </w:numPr>
              <w:rPr>
                <w:sz w:val="22"/>
                <w:szCs w:val="22"/>
              </w:rPr>
            </w:pPr>
          </w:p>
        </w:tc>
        <w:tc>
          <w:tcPr>
            <w:tcW w:w="1890" w:type="dxa"/>
          </w:tcPr>
          <w:p w:rsidR="003D6B35" w:rsidRPr="00786FA1" w:rsidRDefault="003D6B35" w:rsidP="008057E9">
            <w:pPr>
              <w:pStyle w:val="ListNumber"/>
              <w:numPr>
                <w:ilvl w:val="0"/>
                <w:numId w:val="0"/>
              </w:numPr>
              <w:rPr>
                <w:sz w:val="22"/>
                <w:szCs w:val="22"/>
              </w:rPr>
            </w:pPr>
          </w:p>
        </w:tc>
        <w:tc>
          <w:tcPr>
            <w:tcW w:w="3422" w:type="dxa"/>
          </w:tcPr>
          <w:p w:rsidR="003D6B35" w:rsidRPr="00786FA1" w:rsidRDefault="003D6B35" w:rsidP="008057E9">
            <w:pPr>
              <w:pStyle w:val="ListNumber"/>
              <w:numPr>
                <w:ilvl w:val="0"/>
                <w:numId w:val="0"/>
              </w:numPr>
              <w:rPr>
                <w:sz w:val="22"/>
                <w:szCs w:val="22"/>
              </w:rPr>
            </w:pPr>
          </w:p>
        </w:tc>
      </w:tr>
      <w:tr w:rsidR="003D6B35" w:rsidRPr="00786FA1" w:rsidTr="00134CDF">
        <w:tc>
          <w:tcPr>
            <w:tcW w:w="900" w:type="dxa"/>
          </w:tcPr>
          <w:p w:rsidR="003D6B35" w:rsidRPr="00786FA1" w:rsidRDefault="003D6B35" w:rsidP="00733370">
            <w:pPr>
              <w:pStyle w:val="ListNumber"/>
              <w:numPr>
                <w:ilvl w:val="0"/>
                <w:numId w:val="0"/>
              </w:numPr>
              <w:jc w:val="center"/>
              <w:rPr>
                <w:sz w:val="22"/>
                <w:szCs w:val="22"/>
              </w:rPr>
            </w:pPr>
            <w:r w:rsidRPr="00786FA1">
              <w:rPr>
                <w:sz w:val="22"/>
                <w:szCs w:val="22"/>
              </w:rPr>
              <w:t>R2</w:t>
            </w:r>
          </w:p>
        </w:tc>
        <w:tc>
          <w:tcPr>
            <w:tcW w:w="2160" w:type="dxa"/>
          </w:tcPr>
          <w:p w:rsidR="003D6B35" w:rsidRPr="00786FA1" w:rsidRDefault="003D6B35" w:rsidP="008057E9">
            <w:pPr>
              <w:pStyle w:val="ListNumber"/>
              <w:numPr>
                <w:ilvl w:val="0"/>
                <w:numId w:val="0"/>
              </w:numPr>
              <w:rPr>
                <w:sz w:val="22"/>
                <w:szCs w:val="22"/>
              </w:rPr>
            </w:pPr>
          </w:p>
        </w:tc>
        <w:tc>
          <w:tcPr>
            <w:tcW w:w="1528" w:type="dxa"/>
          </w:tcPr>
          <w:p w:rsidR="003D6B35" w:rsidRPr="00786FA1" w:rsidRDefault="003D6B35" w:rsidP="008057E9">
            <w:pPr>
              <w:pStyle w:val="ListNumber"/>
              <w:numPr>
                <w:ilvl w:val="0"/>
                <w:numId w:val="0"/>
              </w:numPr>
              <w:rPr>
                <w:sz w:val="22"/>
                <w:szCs w:val="22"/>
              </w:rPr>
            </w:pPr>
          </w:p>
        </w:tc>
        <w:tc>
          <w:tcPr>
            <w:tcW w:w="1890" w:type="dxa"/>
          </w:tcPr>
          <w:p w:rsidR="003D6B35" w:rsidRPr="00786FA1" w:rsidRDefault="003D6B35" w:rsidP="008057E9">
            <w:pPr>
              <w:pStyle w:val="ListNumber"/>
              <w:numPr>
                <w:ilvl w:val="0"/>
                <w:numId w:val="0"/>
              </w:numPr>
              <w:rPr>
                <w:sz w:val="22"/>
                <w:szCs w:val="22"/>
              </w:rPr>
            </w:pPr>
          </w:p>
        </w:tc>
        <w:tc>
          <w:tcPr>
            <w:tcW w:w="3422" w:type="dxa"/>
          </w:tcPr>
          <w:p w:rsidR="003D6B35" w:rsidRPr="00786FA1" w:rsidRDefault="003D6B35" w:rsidP="008057E9">
            <w:pPr>
              <w:pStyle w:val="ListNumber"/>
              <w:numPr>
                <w:ilvl w:val="0"/>
                <w:numId w:val="0"/>
              </w:numPr>
              <w:rPr>
                <w:sz w:val="22"/>
                <w:szCs w:val="22"/>
              </w:rPr>
            </w:pPr>
          </w:p>
        </w:tc>
      </w:tr>
      <w:tr w:rsidR="0054537C" w:rsidRPr="00786FA1" w:rsidTr="00A65E4A">
        <w:tc>
          <w:tcPr>
            <w:tcW w:w="900" w:type="dxa"/>
          </w:tcPr>
          <w:p w:rsidR="0054537C" w:rsidRPr="00786FA1" w:rsidRDefault="0054537C" w:rsidP="00A65E4A">
            <w:pPr>
              <w:pStyle w:val="ListNumber"/>
              <w:numPr>
                <w:ilvl w:val="0"/>
                <w:numId w:val="0"/>
              </w:numPr>
              <w:jc w:val="center"/>
              <w:rPr>
                <w:sz w:val="22"/>
                <w:szCs w:val="22"/>
              </w:rPr>
            </w:pPr>
            <w:r w:rsidRPr="00786FA1">
              <w:rPr>
                <w:sz w:val="22"/>
                <w:szCs w:val="22"/>
              </w:rPr>
              <w:t>R3</w:t>
            </w:r>
          </w:p>
        </w:tc>
        <w:tc>
          <w:tcPr>
            <w:tcW w:w="2160" w:type="dxa"/>
          </w:tcPr>
          <w:p w:rsidR="0054537C" w:rsidRPr="00786FA1" w:rsidRDefault="0054537C" w:rsidP="00A65E4A">
            <w:pPr>
              <w:pStyle w:val="ListNumber"/>
              <w:numPr>
                <w:ilvl w:val="0"/>
                <w:numId w:val="0"/>
              </w:numPr>
              <w:rPr>
                <w:sz w:val="22"/>
                <w:szCs w:val="22"/>
              </w:rPr>
            </w:pPr>
          </w:p>
        </w:tc>
        <w:tc>
          <w:tcPr>
            <w:tcW w:w="1528" w:type="dxa"/>
          </w:tcPr>
          <w:p w:rsidR="0054537C" w:rsidRPr="00786FA1" w:rsidRDefault="0054537C" w:rsidP="00A65E4A">
            <w:pPr>
              <w:pStyle w:val="ListNumber"/>
              <w:numPr>
                <w:ilvl w:val="0"/>
                <w:numId w:val="0"/>
              </w:numPr>
              <w:rPr>
                <w:sz w:val="22"/>
                <w:szCs w:val="22"/>
              </w:rPr>
            </w:pPr>
          </w:p>
        </w:tc>
        <w:tc>
          <w:tcPr>
            <w:tcW w:w="1890" w:type="dxa"/>
          </w:tcPr>
          <w:p w:rsidR="0054537C" w:rsidRPr="00786FA1" w:rsidRDefault="0054537C" w:rsidP="00A65E4A">
            <w:pPr>
              <w:pStyle w:val="ListNumber"/>
              <w:numPr>
                <w:ilvl w:val="0"/>
                <w:numId w:val="0"/>
              </w:numPr>
              <w:rPr>
                <w:sz w:val="22"/>
                <w:szCs w:val="22"/>
              </w:rPr>
            </w:pPr>
          </w:p>
        </w:tc>
        <w:tc>
          <w:tcPr>
            <w:tcW w:w="3422" w:type="dxa"/>
          </w:tcPr>
          <w:p w:rsidR="0054537C" w:rsidRPr="00786FA1" w:rsidRDefault="0054537C" w:rsidP="00A65E4A">
            <w:pPr>
              <w:pStyle w:val="ListNumber"/>
              <w:numPr>
                <w:ilvl w:val="0"/>
                <w:numId w:val="0"/>
              </w:numPr>
              <w:rPr>
                <w:sz w:val="22"/>
                <w:szCs w:val="22"/>
              </w:rPr>
            </w:pPr>
          </w:p>
        </w:tc>
      </w:tr>
      <w:tr w:rsidR="003D6B35" w:rsidRPr="00786FA1" w:rsidTr="00134CDF">
        <w:tc>
          <w:tcPr>
            <w:tcW w:w="900" w:type="dxa"/>
          </w:tcPr>
          <w:p w:rsidR="003D6B35" w:rsidRPr="00786FA1" w:rsidRDefault="003D6B35" w:rsidP="00733370">
            <w:pPr>
              <w:pStyle w:val="ListNumber"/>
              <w:numPr>
                <w:ilvl w:val="0"/>
                <w:numId w:val="0"/>
              </w:numPr>
              <w:jc w:val="center"/>
              <w:rPr>
                <w:sz w:val="22"/>
                <w:szCs w:val="22"/>
              </w:rPr>
            </w:pPr>
            <w:r w:rsidRPr="00786FA1">
              <w:rPr>
                <w:sz w:val="22"/>
                <w:szCs w:val="22"/>
              </w:rPr>
              <w:t>R</w:t>
            </w:r>
            <w:r w:rsidR="0054537C">
              <w:rPr>
                <w:sz w:val="22"/>
                <w:szCs w:val="22"/>
              </w:rPr>
              <w:t>4</w:t>
            </w:r>
          </w:p>
        </w:tc>
        <w:tc>
          <w:tcPr>
            <w:tcW w:w="2160" w:type="dxa"/>
          </w:tcPr>
          <w:p w:rsidR="003D6B35" w:rsidRPr="00786FA1" w:rsidRDefault="003D6B35" w:rsidP="008057E9">
            <w:pPr>
              <w:pStyle w:val="ListNumber"/>
              <w:numPr>
                <w:ilvl w:val="0"/>
                <w:numId w:val="0"/>
              </w:numPr>
              <w:rPr>
                <w:sz w:val="22"/>
                <w:szCs w:val="22"/>
              </w:rPr>
            </w:pPr>
          </w:p>
        </w:tc>
        <w:tc>
          <w:tcPr>
            <w:tcW w:w="1528" w:type="dxa"/>
          </w:tcPr>
          <w:p w:rsidR="003D6B35" w:rsidRPr="00786FA1" w:rsidRDefault="003D6B35" w:rsidP="008057E9">
            <w:pPr>
              <w:pStyle w:val="ListNumber"/>
              <w:numPr>
                <w:ilvl w:val="0"/>
                <w:numId w:val="0"/>
              </w:numPr>
              <w:rPr>
                <w:sz w:val="22"/>
                <w:szCs w:val="22"/>
              </w:rPr>
            </w:pPr>
          </w:p>
        </w:tc>
        <w:tc>
          <w:tcPr>
            <w:tcW w:w="1890" w:type="dxa"/>
          </w:tcPr>
          <w:p w:rsidR="003D6B35" w:rsidRPr="00786FA1" w:rsidRDefault="003D6B35" w:rsidP="008057E9">
            <w:pPr>
              <w:pStyle w:val="ListNumber"/>
              <w:numPr>
                <w:ilvl w:val="0"/>
                <w:numId w:val="0"/>
              </w:numPr>
              <w:rPr>
                <w:sz w:val="22"/>
                <w:szCs w:val="22"/>
              </w:rPr>
            </w:pPr>
          </w:p>
        </w:tc>
        <w:tc>
          <w:tcPr>
            <w:tcW w:w="3422" w:type="dxa"/>
          </w:tcPr>
          <w:p w:rsidR="003D6B35" w:rsidRPr="00786FA1" w:rsidRDefault="003D6B35" w:rsidP="008057E9">
            <w:pPr>
              <w:pStyle w:val="ListNumber"/>
              <w:numPr>
                <w:ilvl w:val="0"/>
                <w:numId w:val="0"/>
              </w:numPr>
              <w:rPr>
                <w:sz w:val="22"/>
                <w:szCs w:val="22"/>
              </w:rPr>
            </w:pPr>
          </w:p>
        </w:tc>
      </w:tr>
    </w:tbl>
    <w:p w:rsidR="003D6B35" w:rsidRDefault="003D6B35" w:rsidP="003D6B35">
      <w:pPr>
        <w:pStyle w:val="ListNumber"/>
        <w:numPr>
          <w:ilvl w:val="0"/>
          <w:numId w:val="0"/>
        </w:numPr>
        <w:ind w:left="720"/>
        <w:rPr>
          <w:b/>
        </w:rPr>
      </w:pPr>
    </w:p>
    <w:p w:rsidR="009C2375" w:rsidRDefault="009C2375" w:rsidP="009C2375">
      <w:pPr>
        <w:pStyle w:val="Section"/>
      </w:pPr>
      <w:r>
        <w:t xml:space="preserve">Regional </w:t>
      </w:r>
      <w:r w:rsidR="001E5878">
        <w:t>Variances</w:t>
      </w:r>
    </w:p>
    <w:p w:rsidR="009C2375" w:rsidRDefault="009C2375" w:rsidP="00372401">
      <w:pPr>
        <w:pStyle w:val="ListNumber"/>
        <w:numPr>
          <w:ilvl w:val="0"/>
          <w:numId w:val="0"/>
        </w:numPr>
        <w:ind w:left="360"/>
      </w:pPr>
      <w:r>
        <w:t>None</w:t>
      </w:r>
      <w:r w:rsidR="005523BA">
        <w:t>.</w:t>
      </w:r>
    </w:p>
    <w:p w:rsidR="005523BA" w:rsidRPr="009C2375" w:rsidRDefault="005523BA" w:rsidP="005523BA">
      <w:pPr>
        <w:pStyle w:val="Section"/>
      </w:pPr>
      <w:r>
        <w:t>Associated Documents</w:t>
      </w:r>
    </w:p>
    <w:p w:rsidR="00E1757C" w:rsidRPr="00E1757C" w:rsidRDefault="009C2375" w:rsidP="009C2375">
      <w:pPr>
        <w:pStyle w:val="Heading4"/>
      </w:pPr>
      <w:r>
        <w:t>Version History</w:t>
      </w:r>
    </w:p>
    <w:tbl>
      <w:tblPr>
        <w:tblW w:w="9828" w:type="dxa"/>
        <w:tblLayout w:type="fixed"/>
        <w:tblLook w:val="01E0"/>
      </w:tblPr>
      <w:tblGrid>
        <w:gridCol w:w="1717"/>
        <w:gridCol w:w="1717"/>
        <w:gridCol w:w="3197"/>
        <w:gridCol w:w="3197"/>
      </w:tblGrid>
      <w:tr w:rsidR="00082E43"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082E43" w:rsidRPr="007223B2" w:rsidRDefault="00AC63F2"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w:t>
            </w:r>
            <w:r w:rsidR="00082E43" w:rsidRPr="007223B2">
              <w:rPr>
                <w:rFonts w:ascii="Arial" w:hAnsi="Arial" w:cs="Arial"/>
                <w:b/>
                <w:color w:val="FFFFFF"/>
                <w:sz w:val="20"/>
                <w:szCs w:val="20"/>
              </w:rPr>
              <w:t>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082E43" w:rsidRPr="007223B2" w:rsidRDefault="00082E43"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082E43" w:rsidRPr="007223B2" w:rsidRDefault="00082E43"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082E43" w:rsidRPr="007223B2" w:rsidRDefault="00082E43"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D1354F" w:rsidRPr="00786FA1" w:rsidTr="00474206">
        <w:tc>
          <w:tcPr>
            <w:tcW w:w="1717" w:type="dxa"/>
            <w:tcBorders>
              <w:top w:val="single" w:sz="4" w:space="0" w:color="auto"/>
              <w:left w:val="single" w:sz="4" w:space="0" w:color="auto"/>
              <w:bottom w:val="single" w:sz="4" w:space="0" w:color="auto"/>
              <w:right w:val="single" w:sz="4" w:space="0" w:color="auto"/>
            </w:tcBorders>
          </w:tcPr>
          <w:p w:rsidR="00D1354F" w:rsidRPr="00786FA1" w:rsidRDefault="00D1354F"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r w:rsidRPr="00786FA1">
              <w:rPr>
                <w:b w:val="0"/>
                <w:szCs w:val="24"/>
              </w:rPr>
              <w:t>New</w:t>
            </w:r>
          </w:p>
        </w:tc>
      </w:tr>
      <w:tr w:rsidR="00D1354F" w:rsidRPr="00786FA1" w:rsidTr="00474206">
        <w:tc>
          <w:tcPr>
            <w:tcW w:w="1717" w:type="dxa"/>
            <w:tcBorders>
              <w:top w:val="single" w:sz="4" w:space="0" w:color="auto"/>
              <w:left w:val="single" w:sz="4" w:space="0" w:color="auto"/>
              <w:bottom w:val="single" w:sz="4" w:space="0" w:color="auto"/>
              <w:right w:val="single" w:sz="4" w:space="0" w:color="auto"/>
            </w:tcBorders>
          </w:tcPr>
          <w:p w:rsidR="00D1354F" w:rsidRPr="00786FA1" w:rsidRDefault="00D1354F"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r w:rsidRPr="00786FA1">
              <w:rPr>
                <w:b w:val="0"/>
                <w:szCs w:val="24"/>
              </w:rPr>
              <w:t>Co</w:t>
            </w:r>
            <w:r w:rsidR="00A65E4A">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r w:rsidRPr="00786FA1">
              <w:rPr>
                <w:b w:val="0"/>
                <w:szCs w:val="24"/>
              </w:rPr>
              <w:t>Revision</w:t>
            </w:r>
          </w:p>
        </w:tc>
      </w:tr>
    </w:tbl>
    <w:p w:rsidR="00E1757C" w:rsidRDefault="00E1757C" w:rsidP="007844D2">
      <w:pPr>
        <w:pStyle w:val="Requirement"/>
        <w:numPr>
          <w:ilvl w:val="0"/>
          <w:numId w:val="0"/>
        </w:numPr>
      </w:pPr>
    </w:p>
    <w:sectPr w:rsidR="00E1757C" w:rsidSect="00D1354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E4A" w:rsidRDefault="00A65E4A">
      <w:r>
        <w:separator/>
      </w:r>
    </w:p>
  </w:endnote>
  <w:endnote w:type="continuationSeparator" w:id="0">
    <w:p w:rsidR="00A65E4A" w:rsidRDefault="00A65E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E4A" w:rsidRDefault="00A65E4A" w:rsidP="00AC63F2">
    <w:pPr>
      <w:pStyle w:val="Footer"/>
      <w:pBdr>
        <w:top w:val="none" w:sz="0" w:space="0" w:color="auto"/>
      </w:pBdr>
      <w:tabs>
        <w:tab w:val="clear" w:pos="8640"/>
        <w:tab w:val="right" w:pos="9360"/>
      </w:tabs>
      <w:spacing w:before="0" w:after="0"/>
    </w:pPr>
    <w:r>
      <w:t>Draft 1: May 10, 2010</w:t>
    </w: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883D9A">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83D9A">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E4A" w:rsidRDefault="00A65E4A">
      <w:r>
        <w:separator/>
      </w:r>
    </w:p>
  </w:footnote>
  <w:footnote w:type="continuationSeparator" w:id="0">
    <w:p w:rsidR="00A65E4A" w:rsidRDefault="00A65E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E4A" w:rsidRDefault="00A65E4A">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9D28544"/>
    <w:lvl w:ilvl="0">
      <w:start w:val="1"/>
      <w:numFmt w:val="decimal"/>
      <w:lvlText w:val="%1."/>
      <w:lvlJc w:val="left"/>
      <w:pPr>
        <w:tabs>
          <w:tab w:val="num" w:pos="360"/>
        </w:tabs>
        <w:ind w:left="360" w:hanging="360"/>
      </w:pPr>
    </w:lvl>
  </w:abstractNum>
  <w:abstractNum w:abstractNumId="1">
    <w:nsid w:val="01193E93"/>
    <w:multiLevelType w:val="multilevel"/>
    <w:tmpl w:val="988A90BC"/>
    <w:lvl w:ilvl="0">
      <w:start w:val="1"/>
      <w:numFmt w:val="decimal"/>
      <w:pStyle w:val="ListNumber"/>
      <w:lvlText w:val="%1."/>
      <w:lvlJc w:val="left"/>
      <w:pPr>
        <w:tabs>
          <w:tab w:val="num" w:pos="936"/>
        </w:tabs>
        <w:ind w:left="936" w:hanging="576"/>
      </w:pPr>
      <w:rPr>
        <w:rFonts w:ascii="Times New Roman" w:hAnsi="Times New Roman" w:hint="default"/>
        <w:b/>
        <w:i w:val="0"/>
        <w:color w:val="auto"/>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3">
    <w:nsid w:val="051807B9"/>
    <w:multiLevelType w:val="hybridMultilevel"/>
    <w:tmpl w:val="D2F0D18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bullet"/>
      <w:lvlText w:val="o"/>
      <w:lvlJc w:val="left"/>
      <w:pPr>
        <w:tabs>
          <w:tab w:val="num" w:pos="1872"/>
        </w:tabs>
        <w:ind w:left="1872" w:hanging="360"/>
      </w:pPr>
      <w:rPr>
        <w:rFonts w:ascii="Courier New" w:hAnsi="Courier New" w:cs="Courier New"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5">
    <w:nsid w:val="0C5E3476"/>
    <w:multiLevelType w:val="multilevel"/>
    <w:tmpl w:val="EBD278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F1011AB"/>
    <w:multiLevelType w:val="multilevel"/>
    <w:tmpl w:val="582E59CA"/>
    <w:lvl w:ilvl="0">
      <w:start w:val="1"/>
      <w:numFmt w:val="decimal"/>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728"/>
        </w:tabs>
        <w:ind w:left="1728" w:hanging="792"/>
      </w:pPr>
      <w:rPr>
        <w:rFonts w:ascii="Franklin Gothic Heavy" w:hAnsi="Franklin Gothic Heavy" w:hint="default"/>
        <w:b/>
        <w:i w:val="0"/>
        <w:sz w:val="24"/>
        <w:szCs w:val="22"/>
      </w:rPr>
    </w:lvl>
    <w:lvl w:ilvl="2">
      <w:start w:val="1"/>
      <w:numFmt w:val="decimal"/>
      <w:lvlText w:val="%1.%2.%3."/>
      <w:lvlJc w:val="left"/>
      <w:pPr>
        <w:tabs>
          <w:tab w:val="num" w:pos="1728"/>
        </w:tabs>
        <w:ind w:left="2592" w:hanging="864"/>
      </w:pPr>
      <w:rPr>
        <w:rFonts w:ascii="Franklin Gothic Heavy" w:hAnsi="Franklin Gothic Heavy" w:hint="default"/>
        <w:b/>
        <w:i w:val="0"/>
        <w:sz w:val="24"/>
        <w:szCs w:val="22"/>
      </w:rPr>
    </w:lvl>
    <w:lvl w:ilvl="3">
      <w:start w:val="1"/>
      <w:numFmt w:val="decimal"/>
      <w:lvlText w:val="%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8">
    <w:nsid w:val="126023A7"/>
    <w:multiLevelType w:val="hybridMultilevel"/>
    <w:tmpl w:val="C88647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2D5337F"/>
    <w:multiLevelType w:val="hybridMultilevel"/>
    <w:tmpl w:val="77F8EB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bullet"/>
      <w:lvlText w:val="o"/>
      <w:lvlJc w:val="left"/>
      <w:pPr>
        <w:tabs>
          <w:tab w:val="num" w:pos="1872"/>
        </w:tabs>
        <w:ind w:left="1872" w:hanging="360"/>
      </w:pPr>
      <w:rPr>
        <w:rFonts w:ascii="Courier New" w:hAnsi="Courier New" w:cs="Courier New"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11">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12">
    <w:nsid w:val="179023DC"/>
    <w:multiLevelType w:val="multilevel"/>
    <w:tmpl w:val="9D4ABB74"/>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728"/>
        </w:tabs>
        <w:ind w:left="1728" w:hanging="792"/>
      </w:pPr>
      <w:rPr>
        <w:rFonts w:ascii="Times New Roman Bold" w:hAnsi="Times New Roman Bold" w:hint="default"/>
        <w:b/>
        <w:i w:val="0"/>
        <w:sz w:val="24"/>
        <w:szCs w:val="22"/>
      </w:rPr>
    </w:lvl>
    <w:lvl w:ilvl="2">
      <w:start w:val="1"/>
      <w:numFmt w:val="decimal"/>
      <w:lvlText w:val="%1.%2.%3."/>
      <w:lvlJc w:val="left"/>
      <w:pPr>
        <w:tabs>
          <w:tab w:val="num" w:pos="1728"/>
        </w:tabs>
        <w:ind w:left="2592" w:hanging="864"/>
      </w:pPr>
      <w:rPr>
        <w:rFonts w:ascii="Times New Roman Bold" w:hAnsi="Times New Roman Bold" w:hint="default"/>
        <w:b/>
        <w:i w:val="0"/>
        <w:sz w:val="24"/>
        <w:szCs w:val="22"/>
      </w:rPr>
    </w:lvl>
    <w:lvl w:ilvl="3">
      <w:start w:val="1"/>
      <w:numFmt w:val="decimal"/>
      <w:lvlText w:val="%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nsid w:val="18BB05AA"/>
    <w:multiLevelType w:val="multilevel"/>
    <w:tmpl w:val="054ECA2C"/>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2088" w:hanging="648"/>
      </w:pPr>
      <w:rPr>
        <w:rFonts w:hint="default"/>
        <w:b/>
        <w:i w:val="0"/>
      </w:rPr>
    </w:lvl>
    <w:lvl w:ilvl="4">
      <w:start w:val="1"/>
      <w:numFmt w:val="decimal"/>
      <w:lvlText w:val="R%1.%2.%3.%4.%5."/>
      <w:lvlJc w:val="left"/>
      <w:pPr>
        <w:tabs>
          <w:tab w:val="num" w:pos="3690"/>
        </w:tabs>
        <w:ind w:left="3402" w:hanging="792"/>
      </w:pPr>
      <w:rPr>
        <w:rFonts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nsid w:val="19D377D2"/>
    <w:multiLevelType w:val="hybridMultilevel"/>
    <w:tmpl w:val="F0883C7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szCs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6">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17">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0409000F">
      <w:start w:val="1"/>
      <w:numFmt w:val="decimal"/>
      <w:lvlText w:val="%2."/>
      <w:lvlJc w:val="left"/>
      <w:pPr>
        <w:tabs>
          <w:tab w:val="num" w:pos="1440"/>
        </w:tabs>
        <w:ind w:left="1440" w:hanging="360"/>
      </w:pPr>
      <w:rPr>
        <w:rFonts w:hint="default"/>
        <w:b/>
        <w:i w:val="0"/>
        <w:sz w:val="24"/>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19">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20">
    <w:nsid w:val="3CB64F74"/>
    <w:multiLevelType w:val="multilevel"/>
    <w:tmpl w:val="A84C190E"/>
    <w:lvl w:ilvl="0">
      <w:start w:val="1"/>
      <w:numFmt w:val="decimal"/>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728"/>
        </w:tabs>
        <w:ind w:left="1728" w:hanging="792"/>
      </w:pPr>
      <w:rPr>
        <w:rFonts w:ascii="Franklin Gothic Heavy" w:hAnsi="Franklin Gothic Heavy" w:hint="default"/>
        <w:b/>
        <w:i w:val="0"/>
        <w:sz w:val="24"/>
        <w:szCs w:val="22"/>
      </w:rPr>
    </w:lvl>
    <w:lvl w:ilvl="2">
      <w:start w:val="1"/>
      <w:numFmt w:val="decimal"/>
      <w:lvlText w:val="%1.%2.%3."/>
      <w:lvlJc w:val="left"/>
      <w:pPr>
        <w:tabs>
          <w:tab w:val="num" w:pos="1728"/>
        </w:tabs>
        <w:ind w:left="2592" w:hanging="864"/>
      </w:pPr>
      <w:rPr>
        <w:rFonts w:ascii="Franklin Gothic Heavy" w:hAnsi="Franklin Gothic Heavy" w:hint="default"/>
        <w:b/>
        <w:i w:val="0"/>
        <w:sz w:val="24"/>
        <w:szCs w:val="22"/>
      </w:rPr>
    </w:lvl>
    <w:lvl w:ilvl="3">
      <w:start w:val="1"/>
      <w:numFmt w:val="decimal"/>
      <w:lvlText w:val="%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nsid w:val="4603329F"/>
    <w:multiLevelType w:val="multilevel"/>
    <w:tmpl w:val="C1A21DD2"/>
    <w:lvl w:ilvl="0">
      <w:start w:val="1"/>
      <w:numFmt w:val="decimal"/>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24">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bullet"/>
      <w:lvlText w:val="o"/>
      <w:lvlJc w:val="left"/>
      <w:pPr>
        <w:tabs>
          <w:tab w:val="num" w:pos="1872"/>
        </w:tabs>
        <w:ind w:left="1872" w:hanging="360"/>
      </w:pPr>
      <w:rPr>
        <w:rFonts w:ascii="Courier New" w:hAnsi="Courier New" w:cs="Courier New"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25">
    <w:nsid w:val="67CB3584"/>
    <w:multiLevelType w:val="multilevel"/>
    <w:tmpl w:val="5C2A364A"/>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692"/>
        </w:tabs>
        <w:ind w:left="1692" w:hanging="792"/>
      </w:pPr>
      <w:rPr>
        <w:rFonts w:ascii="Times New Roman" w:hAnsi="Times New Roman" w:hint="default"/>
        <w:b/>
        <w:i w:val="0"/>
        <w:color w:val="auto"/>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6">
    <w:nsid w:val="6ADD6FE3"/>
    <w:multiLevelType w:val="multilevel"/>
    <w:tmpl w:val="582E59CA"/>
    <w:lvl w:ilvl="0">
      <w:start w:val="1"/>
      <w:numFmt w:val="decimal"/>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728"/>
        </w:tabs>
        <w:ind w:left="1728" w:hanging="792"/>
      </w:pPr>
      <w:rPr>
        <w:rFonts w:ascii="Franklin Gothic Heavy" w:hAnsi="Franklin Gothic Heavy" w:hint="default"/>
        <w:b/>
        <w:i w:val="0"/>
        <w:sz w:val="24"/>
        <w:szCs w:val="22"/>
      </w:rPr>
    </w:lvl>
    <w:lvl w:ilvl="2">
      <w:start w:val="1"/>
      <w:numFmt w:val="decimal"/>
      <w:lvlText w:val="%1.%2.%3."/>
      <w:lvlJc w:val="left"/>
      <w:pPr>
        <w:tabs>
          <w:tab w:val="num" w:pos="1728"/>
        </w:tabs>
        <w:ind w:left="2592" w:hanging="864"/>
      </w:pPr>
      <w:rPr>
        <w:rFonts w:ascii="Franklin Gothic Heavy" w:hAnsi="Franklin Gothic Heavy" w:hint="default"/>
        <w:b/>
        <w:i w:val="0"/>
        <w:sz w:val="24"/>
        <w:szCs w:val="22"/>
      </w:rPr>
    </w:lvl>
    <w:lvl w:ilvl="3">
      <w:start w:val="1"/>
      <w:numFmt w:val="decimal"/>
      <w:lvlText w:val="%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7">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1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num>
  <w:num w:numId="6">
    <w:abstractNumId w:val="8"/>
  </w:num>
  <w:num w:numId="7">
    <w:abstractNumId w:val="9"/>
  </w:num>
  <w:num w:numId="8">
    <w:abstractNumId w:val="3"/>
  </w:num>
  <w:num w:numId="9">
    <w:abstractNumId w:val="23"/>
  </w:num>
  <w:num w:numId="10">
    <w:abstractNumId w:val="18"/>
  </w:num>
  <w:num w:numId="11">
    <w:abstractNumId w:val="14"/>
  </w:num>
  <w:num w:numId="12">
    <w:abstractNumId w:val="22"/>
  </w:num>
  <w:num w:numId="13">
    <w:abstractNumId w:val="16"/>
  </w:num>
  <w:num w:numId="14">
    <w:abstractNumId w:val="12"/>
  </w:num>
  <w:num w:numId="15">
    <w:abstractNumId w:val="2"/>
  </w:num>
  <w:num w:numId="16">
    <w:abstractNumId w:val="4"/>
  </w:num>
  <w:num w:numId="17">
    <w:abstractNumId w:val="19"/>
  </w:num>
  <w:num w:numId="18">
    <w:abstractNumId w:val="24"/>
  </w:num>
  <w:num w:numId="19">
    <w:abstractNumId w:val="11"/>
  </w:num>
  <w:num w:numId="20">
    <w:abstractNumId w:val="10"/>
  </w:num>
  <w:num w:numId="21">
    <w:abstractNumId w:val="6"/>
  </w:num>
  <w:num w:numId="22">
    <w:abstractNumId w:val="5"/>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6"/>
  </w:num>
  <w:num w:numId="26">
    <w:abstractNumId w:val="7"/>
  </w:num>
  <w:num w:numId="27">
    <w:abstractNumId w:val="27"/>
  </w:num>
  <w:num w:numId="28">
    <w:abstractNumId w:val="0"/>
  </w:num>
  <w:num w:numId="29">
    <w:abstractNumId w:val="13"/>
  </w:num>
  <w:num w:numId="30">
    <w:abstractNumId w:val="25"/>
    <w:lvlOverride w:ilvl="0">
      <w:lvl w:ilvl="0">
        <w:start w:val="1"/>
        <w:numFmt w:val="decimal"/>
        <w:pStyle w:val="Measure"/>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473D"/>
    <w:rsid w:val="00016A7C"/>
    <w:rsid w:val="000242A5"/>
    <w:rsid w:val="00026AB9"/>
    <w:rsid w:val="0003313D"/>
    <w:rsid w:val="000340C9"/>
    <w:rsid w:val="000348B5"/>
    <w:rsid w:val="000357F7"/>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102A"/>
    <w:rsid w:val="00133E4B"/>
    <w:rsid w:val="00134CDF"/>
    <w:rsid w:val="00144BE0"/>
    <w:rsid w:val="00165490"/>
    <w:rsid w:val="001674FA"/>
    <w:rsid w:val="00176486"/>
    <w:rsid w:val="0018092C"/>
    <w:rsid w:val="0018350A"/>
    <w:rsid w:val="001835B0"/>
    <w:rsid w:val="00185CA7"/>
    <w:rsid w:val="0019068C"/>
    <w:rsid w:val="0019444A"/>
    <w:rsid w:val="001953D5"/>
    <w:rsid w:val="00197280"/>
    <w:rsid w:val="001A1126"/>
    <w:rsid w:val="001A147A"/>
    <w:rsid w:val="001A61DB"/>
    <w:rsid w:val="001B107B"/>
    <w:rsid w:val="001B7219"/>
    <w:rsid w:val="001D1F04"/>
    <w:rsid w:val="001E40D2"/>
    <w:rsid w:val="001E5878"/>
    <w:rsid w:val="001E60D9"/>
    <w:rsid w:val="001E623D"/>
    <w:rsid w:val="001F0291"/>
    <w:rsid w:val="001F2784"/>
    <w:rsid w:val="001F5F77"/>
    <w:rsid w:val="0020164E"/>
    <w:rsid w:val="0021726C"/>
    <w:rsid w:val="00220329"/>
    <w:rsid w:val="00224637"/>
    <w:rsid w:val="00231217"/>
    <w:rsid w:val="0023786A"/>
    <w:rsid w:val="00240E31"/>
    <w:rsid w:val="0024184F"/>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867"/>
    <w:rsid w:val="002B39A8"/>
    <w:rsid w:val="002B4B2A"/>
    <w:rsid w:val="002B6D4C"/>
    <w:rsid w:val="002B7448"/>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E70"/>
    <w:rsid w:val="00334A31"/>
    <w:rsid w:val="0034206D"/>
    <w:rsid w:val="00343EFA"/>
    <w:rsid w:val="003530AD"/>
    <w:rsid w:val="00356A30"/>
    <w:rsid w:val="00357B9A"/>
    <w:rsid w:val="00365FFA"/>
    <w:rsid w:val="003677E8"/>
    <w:rsid w:val="00372401"/>
    <w:rsid w:val="0037380E"/>
    <w:rsid w:val="00381F9C"/>
    <w:rsid w:val="003821A2"/>
    <w:rsid w:val="00383F53"/>
    <w:rsid w:val="00386AAD"/>
    <w:rsid w:val="003943DE"/>
    <w:rsid w:val="00395E7F"/>
    <w:rsid w:val="003A5706"/>
    <w:rsid w:val="003B0627"/>
    <w:rsid w:val="003B0ABC"/>
    <w:rsid w:val="003B29F6"/>
    <w:rsid w:val="003B7530"/>
    <w:rsid w:val="003C3695"/>
    <w:rsid w:val="003C50F7"/>
    <w:rsid w:val="003D17ED"/>
    <w:rsid w:val="003D291F"/>
    <w:rsid w:val="003D4506"/>
    <w:rsid w:val="003D6B35"/>
    <w:rsid w:val="003D7336"/>
    <w:rsid w:val="003E189B"/>
    <w:rsid w:val="003E3F90"/>
    <w:rsid w:val="003F129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51114"/>
    <w:rsid w:val="00456BAF"/>
    <w:rsid w:val="004627EC"/>
    <w:rsid w:val="004715F5"/>
    <w:rsid w:val="00472588"/>
    <w:rsid w:val="00474206"/>
    <w:rsid w:val="00476E8E"/>
    <w:rsid w:val="00480D5C"/>
    <w:rsid w:val="00486746"/>
    <w:rsid w:val="00487121"/>
    <w:rsid w:val="00487152"/>
    <w:rsid w:val="00487975"/>
    <w:rsid w:val="004937AA"/>
    <w:rsid w:val="0049628C"/>
    <w:rsid w:val="00496E6C"/>
    <w:rsid w:val="004A0105"/>
    <w:rsid w:val="004B258E"/>
    <w:rsid w:val="004B60E0"/>
    <w:rsid w:val="004C76FD"/>
    <w:rsid w:val="004D127E"/>
    <w:rsid w:val="004D4106"/>
    <w:rsid w:val="004D7EBC"/>
    <w:rsid w:val="004D7F6A"/>
    <w:rsid w:val="004F1B78"/>
    <w:rsid w:val="004F27A8"/>
    <w:rsid w:val="004F2938"/>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63CE"/>
    <w:rsid w:val="005448DF"/>
    <w:rsid w:val="0054537C"/>
    <w:rsid w:val="005471DF"/>
    <w:rsid w:val="0055118F"/>
    <w:rsid w:val="00552292"/>
    <w:rsid w:val="005523BA"/>
    <w:rsid w:val="00553E4E"/>
    <w:rsid w:val="00560916"/>
    <w:rsid w:val="00562118"/>
    <w:rsid w:val="005654FF"/>
    <w:rsid w:val="005730A6"/>
    <w:rsid w:val="00573743"/>
    <w:rsid w:val="00575816"/>
    <w:rsid w:val="00575E1B"/>
    <w:rsid w:val="0058084E"/>
    <w:rsid w:val="005856E0"/>
    <w:rsid w:val="00591CF4"/>
    <w:rsid w:val="00593425"/>
    <w:rsid w:val="005A030B"/>
    <w:rsid w:val="005A3368"/>
    <w:rsid w:val="005B09F6"/>
    <w:rsid w:val="005B22B4"/>
    <w:rsid w:val="005B2EC5"/>
    <w:rsid w:val="005C0B30"/>
    <w:rsid w:val="005C1793"/>
    <w:rsid w:val="005C1A8C"/>
    <w:rsid w:val="005C316B"/>
    <w:rsid w:val="005C3ABC"/>
    <w:rsid w:val="005C406B"/>
    <w:rsid w:val="005C71EB"/>
    <w:rsid w:val="005E05BA"/>
    <w:rsid w:val="005E0ABB"/>
    <w:rsid w:val="005E5BF9"/>
    <w:rsid w:val="005E7310"/>
    <w:rsid w:val="005F0A19"/>
    <w:rsid w:val="00605C2C"/>
    <w:rsid w:val="00605C99"/>
    <w:rsid w:val="00607E2D"/>
    <w:rsid w:val="00617E00"/>
    <w:rsid w:val="00620B60"/>
    <w:rsid w:val="00621107"/>
    <w:rsid w:val="00621729"/>
    <w:rsid w:val="006222E6"/>
    <w:rsid w:val="00622889"/>
    <w:rsid w:val="006242FB"/>
    <w:rsid w:val="00624699"/>
    <w:rsid w:val="006344C3"/>
    <w:rsid w:val="00634F02"/>
    <w:rsid w:val="00643479"/>
    <w:rsid w:val="00650430"/>
    <w:rsid w:val="00654B57"/>
    <w:rsid w:val="006564CE"/>
    <w:rsid w:val="006626EB"/>
    <w:rsid w:val="0066353A"/>
    <w:rsid w:val="00664FE6"/>
    <w:rsid w:val="00665387"/>
    <w:rsid w:val="00670B7D"/>
    <w:rsid w:val="00670F21"/>
    <w:rsid w:val="00672C07"/>
    <w:rsid w:val="00675014"/>
    <w:rsid w:val="00676499"/>
    <w:rsid w:val="00690673"/>
    <w:rsid w:val="00690C4F"/>
    <w:rsid w:val="00690E0D"/>
    <w:rsid w:val="00691C96"/>
    <w:rsid w:val="006A063C"/>
    <w:rsid w:val="006B7D49"/>
    <w:rsid w:val="006C0DC7"/>
    <w:rsid w:val="006C3FD2"/>
    <w:rsid w:val="006C44BB"/>
    <w:rsid w:val="006D1415"/>
    <w:rsid w:val="006D4521"/>
    <w:rsid w:val="006D73D6"/>
    <w:rsid w:val="006E4B77"/>
    <w:rsid w:val="006F4954"/>
    <w:rsid w:val="006F5AD6"/>
    <w:rsid w:val="00704C4B"/>
    <w:rsid w:val="0071264C"/>
    <w:rsid w:val="0071313B"/>
    <w:rsid w:val="007223B2"/>
    <w:rsid w:val="00723BFA"/>
    <w:rsid w:val="00724A4F"/>
    <w:rsid w:val="007260FD"/>
    <w:rsid w:val="00733370"/>
    <w:rsid w:val="00733E35"/>
    <w:rsid w:val="007428CF"/>
    <w:rsid w:val="00742DE0"/>
    <w:rsid w:val="00743D68"/>
    <w:rsid w:val="00747606"/>
    <w:rsid w:val="007560BE"/>
    <w:rsid w:val="00762CC2"/>
    <w:rsid w:val="00763440"/>
    <w:rsid w:val="0078205F"/>
    <w:rsid w:val="007844D2"/>
    <w:rsid w:val="00786FA1"/>
    <w:rsid w:val="00796E0B"/>
    <w:rsid w:val="007A1363"/>
    <w:rsid w:val="007A6CDF"/>
    <w:rsid w:val="007A7356"/>
    <w:rsid w:val="007B2CD9"/>
    <w:rsid w:val="007B4680"/>
    <w:rsid w:val="007B79B5"/>
    <w:rsid w:val="007D0587"/>
    <w:rsid w:val="007D77B7"/>
    <w:rsid w:val="007E54F3"/>
    <w:rsid w:val="007E6869"/>
    <w:rsid w:val="007F1C0F"/>
    <w:rsid w:val="007F29C1"/>
    <w:rsid w:val="007F4CCC"/>
    <w:rsid w:val="008057E9"/>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5FE4"/>
    <w:rsid w:val="00883D9A"/>
    <w:rsid w:val="00886081"/>
    <w:rsid w:val="00886999"/>
    <w:rsid w:val="00890189"/>
    <w:rsid w:val="0089308A"/>
    <w:rsid w:val="008A2211"/>
    <w:rsid w:val="008A77A3"/>
    <w:rsid w:val="008B4A84"/>
    <w:rsid w:val="008B6855"/>
    <w:rsid w:val="008C15CD"/>
    <w:rsid w:val="008D0C1B"/>
    <w:rsid w:val="008D2338"/>
    <w:rsid w:val="008D5EFB"/>
    <w:rsid w:val="008D7891"/>
    <w:rsid w:val="008D7A9C"/>
    <w:rsid w:val="008D7D82"/>
    <w:rsid w:val="008E0319"/>
    <w:rsid w:val="008E0360"/>
    <w:rsid w:val="008E3C93"/>
    <w:rsid w:val="008E5541"/>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5B91"/>
    <w:rsid w:val="00976916"/>
    <w:rsid w:val="00986235"/>
    <w:rsid w:val="009864A8"/>
    <w:rsid w:val="00993CD7"/>
    <w:rsid w:val="009A04A3"/>
    <w:rsid w:val="009C2375"/>
    <w:rsid w:val="009C2646"/>
    <w:rsid w:val="009D0528"/>
    <w:rsid w:val="009D3366"/>
    <w:rsid w:val="009D56E8"/>
    <w:rsid w:val="009D7059"/>
    <w:rsid w:val="009D7382"/>
    <w:rsid w:val="009E1F3F"/>
    <w:rsid w:val="009E2F6D"/>
    <w:rsid w:val="009E327B"/>
    <w:rsid w:val="009E5A75"/>
    <w:rsid w:val="009E5BE0"/>
    <w:rsid w:val="009E6830"/>
    <w:rsid w:val="009E7FFA"/>
    <w:rsid w:val="009F083E"/>
    <w:rsid w:val="009F29A0"/>
    <w:rsid w:val="009F5E38"/>
    <w:rsid w:val="009F65B9"/>
    <w:rsid w:val="00A00F47"/>
    <w:rsid w:val="00A036E0"/>
    <w:rsid w:val="00A05521"/>
    <w:rsid w:val="00A0765D"/>
    <w:rsid w:val="00A14D81"/>
    <w:rsid w:val="00A157E3"/>
    <w:rsid w:val="00A15913"/>
    <w:rsid w:val="00A253A4"/>
    <w:rsid w:val="00A326FF"/>
    <w:rsid w:val="00A349B5"/>
    <w:rsid w:val="00A41318"/>
    <w:rsid w:val="00A42729"/>
    <w:rsid w:val="00A428E1"/>
    <w:rsid w:val="00A42C8D"/>
    <w:rsid w:val="00A44C0D"/>
    <w:rsid w:val="00A57843"/>
    <w:rsid w:val="00A5794E"/>
    <w:rsid w:val="00A61C88"/>
    <w:rsid w:val="00A65E4A"/>
    <w:rsid w:val="00A7375D"/>
    <w:rsid w:val="00A800DE"/>
    <w:rsid w:val="00A81256"/>
    <w:rsid w:val="00A838E9"/>
    <w:rsid w:val="00A87A76"/>
    <w:rsid w:val="00AA4C0D"/>
    <w:rsid w:val="00AA54F7"/>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E5C"/>
    <w:rsid w:val="00B04D98"/>
    <w:rsid w:val="00B151D4"/>
    <w:rsid w:val="00B1705D"/>
    <w:rsid w:val="00B173ED"/>
    <w:rsid w:val="00B21881"/>
    <w:rsid w:val="00B231D2"/>
    <w:rsid w:val="00B237C5"/>
    <w:rsid w:val="00B267BB"/>
    <w:rsid w:val="00B26B38"/>
    <w:rsid w:val="00B339EB"/>
    <w:rsid w:val="00B365BB"/>
    <w:rsid w:val="00B4296F"/>
    <w:rsid w:val="00B65841"/>
    <w:rsid w:val="00B72738"/>
    <w:rsid w:val="00B73DB0"/>
    <w:rsid w:val="00B75DBD"/>
    <w:rsid w:val="00B8344A"/>
    <w:rsid w:val="00B927AA"/>
    <w:rsid w:val="00BA3C63"/>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E9E"/>
    <w:rsid w:val="00C23131"/>
    <w:rsid w:val="00C32514"/>
    <w:rsid w:val="00C36768"/>
    <w:rsid w:val="00C3680D"/>
    <w:rsid w:val="00C40F0B"/>
    <w:rsid w:val="00C41142"/>
    <w:rsid w:val="00C413A9"/>
    <w:rsid w:val="00C438D3"/>
    <w:rsid w:val="00C51820"/>
    <w:rsid w:val="00C54DC5"/>
    <w:rsid w:val="00C55241"/>
    <w:rsid w:val="00C60AB0"/>
    <w:rsid w:val="00C61F32"/>
    <w:rsid w:val="00C70E93"/>
    <w:rsid w:val="00C71604"/>
    <w:rsid w:val="00C80698"/>
    <w:rsid w:val="00C81534"/>
    <w:rsid w:val="00CB2241"/>
    <w:rsid w:val="00CC2EC7"/>
    <w:rsid w:val="00CC56B8"/>
    <w:rsid w:val="00CD0B26"/>
    <w:rsid w:val="00CD79A3"/>
    <w:rsid w:val="00CE3B53"/>
    <w:rsid w:val="00CF4B9D"/>
    <w:rsid w:val="00CF4BEA"/>
    <w:rsid w:val="00D1354F"/>
    <w:rsid w:val="00D13D7E"/>
    <w:rsid w:val="00D15C6E"/>
    <w:rsid w:val="00D3074C"/>
    <w:rsid w:val="00D3360F"/>
    <w:rsid w:val="00D360A6"/>
    <w:rsid w:val="00D37609"/>
    <w:rsid w:val="00D379E7"/>
    <w:rsid w:val="00D37F12"/>
    <w:rsid w:val="00D44080"/>
    <w:rsid w:val="00D5259F"/>
    <w:rsid w:val="00D54E0A"/>
    <w:rsid w:val="00D61B7A"/>
    <w:rsid w:val="00D7494E"/>
    <w:rsid w:val="00D76E26"/>
    <w:rsid w:val="00D809CE"/>
    <w:rsid w:val="00D81A01"/>
    <w:rsid w:val="00D81CA5"/>
    <w:rsid w:val="00D84E3A"/>
    <w:rsid w:val="00D86AAB"/>
    <w:rsid w:val="00D9030D"/>
    <w:rsid w:val="00D93B4B"/>
    <w:rsid w:val="00DA276B"/>
    <w:rsid w:val="00DA4B10"/>
    <w:rsid w:val="00DA5303"/>
    <w:rsid w:val="00DB3463"/>
    <w:rsid w:val="00DB7502"/>
    <w:rsid w:val="00DC13F6"/>
    <w:rsid w:val="00DC7D08"/>
    <w:rsid w:val="00DD4A41"/>
    <w:rsid w:val="00DD682C"/>
    <w:rsid w:val="00DE3AA8"/>
    <w:rsid w:val="00DF046F"/>
    <w:rsid w:val="00DF06BE"/>
    <w:rsid w:val="00DF0720"/>
    <w:rsid w:val="00DF1356"/>
    <w:rsid w:val="00DF24EB"/>
    <w:rsid w:val="00DF3B63"/>
    <w:rsid w:val="00DF5FBC"/>
    <w:rsid w:val="00E054F2"/>
    <w:rsid w:val="00E1457B"/>
    <w:rsid w:val="00E1670A"/>
    <w:rsid w:val="00E1757C"/>
    <w:rsid w:val="00E203A9"/>
    <w:rsid w:val="00E21B81"/>
    <w:rsid w:val="00E23A92"/>
    <w:rsid w:val="00E2424D"/>
    <w:rsid w:val="00E2541E"/>
    <w:rsid w:val="00E317F3"/>
    <w:rsid w:val="00E35C02"/>
    <w:rsid w:val="00E46A72"/>
    <w:rsid w:val="00E47229"/>
    <w:rsid w:val="00E56595"/>
    <w:rsid w:val="00E5716C"/>
    <w:rsid w:val="00E63169"/>
    <w:rsid w:val="00E65814"/>
    <w:rsid w:val="00E735F5"/>
    <w:rsid w:val="00E73958"/>
    <w:rsid w:val="00E77D10"/>
    <w:rsid w:val="00E82D7F"/>
    <w:rsid w:val="00E85893"/>
    <w:rsid w:val="00E867D0"/>
    <w:rsid w:val="00E86ED7"/>
    <w:rsid w:val="00E917FF"/>
    <w:rsid w:val="00E96089"/>
    <w:rsid w:val="00EA4323"/>
    <w:rsid w:val="00EA5EF4"/>
    <w:rsid w:val="00EA621B"/>
    <w:rsid w:val="00EA6826"/>
    <w:rsid w:val="00EA7136"/>
    <w:rsid w:val="00EB41F9"/>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474"/>
    <w:rsid w:val="00F1026D"/>
    <w:rsid w:val="00F1702B"/>
    <w:rsid w:val="00F17669"/>
    <w:rsid w:val="00F22F9B"/>
    <w:rsid w:val="00F278D6"/>
    <w:rsid w:val="00F3568D"/>
    <w:rsid w:val="00F43815"/>
    <w:rsid w:val="00F43E81"/>
    <w:rsid w:val="00F45279"/>
    <w:rsid w:val="00F45C08"/>
    <w:rsid w:val="00F523B9"/>
    <w:rsid w:val="00F52C7B"/>
    <w:rsid w:val="00F53DEF"/>
    <w:rsid w:val="00F54AAC"/>
    <w:rsid w:val="00F572EB"/>
    <w:rsid w:val="00F601E7"/>
    <w:rsid w:val="00F644AA"/>
    <w:rsid w:val="00F65F6D"/>
    <w:rsid w:val="00F7203B"/>
    <w:rsid w:val="00F73FE0"/>
    <w:rsid w:val="00F86DBC"/>
    <w:rsid w:val="00F96081"/>
    <w:rsid w:val="00FA1236"/>
    <w:rsid w:val="00FA3A5C"/>
    <w:rsid w:val="00FA3AE9"/>
    <w:rsid w:val="00FA5A86"/>
    <w:rsid w:val="00FA6CDF"/>
    <w:rsid w:val="00FB59BF"/>
    <w:rsid w:val="00FC17BC"/>
    <w:rsid w:val="00FC2240"/>
    <w:rsid w:val="00FC4AC4"/>
    <w:rsid w:val="00FD7781"/>
    <w:rsid w:val="00FD7D50"/>
    <w:rsid w:val="00FE27FE"/>
    <w:rsid w:val="00FF4E1A"/>
    <w:rsid w:val="00FF5CB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A7E"/>
    <w:pPr>
      <w:spacing w:after="120"/>
    </w:pPr>
    <w:rPr>
      <w:sz w:val="24"/>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6D1415"/>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rsid w:val="000F6A7E"/>
    <w:pPr>
      <w:pBdr>
        <w:bottom w:val="single" w:sz="4" w:space="1" w:color="auto"/>
      </w:pBdr>
      <w:tabs>
        <w:tab w:val="center" w:pos="4320"/>
        <w:tab w:val="right" w:pos="8640"/>
      </w:tabs>
      <w:spacing w:after="240"/>
    </w:pPr>
    <w:rPr>
      <w:rFonts w:ascii="Arial Bold" w:hAnsi="Arial Bold"/>
      <w:b/>
      <w:sz w:val="22"/>
    </w:rPr>
  </w:style>
  <w:style w:type="paragraph" w:styleId="Footer">
    <w:name w:val="footer"/>
    <w:basedOn w:val="Normal"/>
    <w:rsid w:val="000F6A7E"/>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link w:val="SectionChar"/>
    <w:rsid w:val="005523BA"/>
    <w:pPr>
      <w:numPr>
        <w:numId w:val="2"/>
      </w:numPr>
      <w:tabs>
        <w:tab w:val="left" w:pos="1080"/>
      </w:tabs>
    </w:pPr>
    <w:rPr>
      <w:rFonts w:ascii="Arial" w:hAnsi="Arial"/>
      <w:b/>
    </w:rPr>
  </w:style>
  <w:style w:type="paragraph" w:customStyle="1" w:styleId="Requirement">
    <w:name w:val="Requirement"/>
    <w:basedOn w:val="List2"/>
    <w:rsid w:val="0066353A"/>
    <w:pPr>
      <w:numPr>
        <w:numId w:val="14"/>
      </w:numPr>
      <w:tabs>
        <w:tab w:val="left" w:pos="2592"/>
        <w:tab w:val="left" w:pos="3240"/>
      </w:tabs>
    </w:pPr>
  </w:style>
  <w:style w:type="paragraph" w:styleId="ListNumber">
    <w:name w:val="List Number"/>
    <w:basedOn w:val="Normal"/>
    <w:rsid w:val="000F6A7E"/>
    <w:pPr>
      <w:numPr>
        <w:numId w:val="1"/>
      </w:numPr>
      <w:tabs>
        <w:tab w:val="left" w:pos="2160"/>
      </w:tabs>
    </w:pPr>
  </w:style>
  <w:style w:type="paragraph" w:customStyle="1" w:styleId="BodyIndent1">
    <w:name w:val="Body Indent 1"/>
    <w:basedOn w:val="Normal"/>
    <w:rsid w:val="000F6A7E"/>
    <w:pPr>
      <w:ind w:left="936"/>
      <w:contextualSpacing/>
    </w:pPr>
  </w:style>
  <w:style w:type="paragraph" w:customStyle="1" w:styleId="Measure">
    <w:name w:val="Measure"/>
    <w:basedOn w:val="Requirement"/>
    <w:uiPriority w:val="99"/>
    <w:rsid w:val="000F6A7E"/>
    <w:pPr>
      <w:numPr>
        <w:numId w:val="4"/>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E054F2"/>
    <w:pPr>
      <w:spacing w:before="60" w:after="60"/>
    </w:pPr>
    <w:rPr>
      <w:b/>
      <w:szCs w:val="22"/>
    </w:rPr>
  </w:style>
  <w:style w:type="paragraph" w:customStyle="1" w:styleId="VersionTable">
    <w:name w:val="Version Table"/>
    <w:basedOn w:val="Normal"/>
    <w:rsid w:val="006C3FD2"/>
    <w:pPr>
      <w:spacing w:before="60" w:after="60"/>
    </w:pPr>
  </w:style>
  <w:style w:type="paragraph" w:customStyle="1" w:styleId="BodyIndent4">
    <w:name w:val="Body Indent 4"/>
    <w:basedOn w:val="BodyIndent3"/>
    <w:rsid w:val="007A6CDF"/>
    <w:pPr>
      <w:ind w:left="2592"/>
    </w:pPr>
  </w:style>
  <w:style w:type="character" w:styleId="CommentReference">
    <w:name w:val="annotation reference"/>
    <w:basedOn w:val="DefaultParagraphFont"/>
    <w:semiHidden/>
    <w:rsid w:val="007A6CDF"/>
    <w:rPr>
      <w:sz w:val="16"/>
      <w:szCs w:val="16"/>
    </w:rPr>
  </w:style>
  <w:style w:type="paragraph" w:styleId="CommentText">
    <w:name w:val="annotation text"/>
    <w:basedOn w:val="Normal"/>
    <w:semiHidden/>
    <w:rsid w:val="007A6CDF"/>
    <w:rPr>
      <w:rFonts w:ascii="Arial" w:hAnsi="Arial"/>
      <w:sz w:val="20"/>
      <w:szCs w:val="20"/>
    </w:rPr>
  </w:style>
  <w:style w:type="paragraph" w:styleId="CommentSubject">
    <w:name w:val="annotation subject"/>
    <w:basedOn w:val="CommentText"/>
    <w:next w:val="CommentText"/>
    <w:semiHidden/>
    <w:rsid w:val="007A6CDF"/>
    <w:rPr>
      <w:b/>
      <w:bCs/>
    </w:rPr>
  </w:style>
  <w:style w:type="paragraph" w:styleId="BalloonText">
    <w:name w:val="Balloon Text"/>
    <w:basedOn w:val="Normal"/>
    <w:semiHidden/>
    <w:rsid w:val="007A6CDF"/>
    <w:rPr>
      <w:rFonts w:ascii="Tahoma" w:hAnsi="Tahoma" w:cs="Tahoma"/>
      <w:sz w:val="16"/>
      <w:szCs w:val="16"/>
    </w:rPr>
  </w:style>
  <w:style w:type="character" w:customStyle="1" w:styleId="SectionChar">
    <w:name w:val="Section Char"/>
    <w:basedOn w:val="DefaultParagraphFont"/>
    <w:link w:val="Section"/>
    <w:rsid w:val="00670F21"/>
    <w:rPr>
      <w:rFonts w:ascii="Arial" w:hAnsi="Arial"/>
      <w:b/>
      <w:sz w:val="24"/>
      <w:szCs w:val="24"/>
      <w:lang w:val="en-US" w:eastAsia="en-US" w:bidi="ar-SA"/>
    </w:rPr>
  </w:style>
  <w:style w:type="paragraph" w:styleId="ListBullet2">
    <w:name w:val="List Bullet 2"/>
    <w:basedOn w:val="Normal"/>
    <w:rsid w:val="003D6B35"/>
    <w:pPr>
      <w:numPr>
        <w:ilvl w:val="3"/>
        <w:numId w:val="8"/>
      </w:numPr>
      <w:spacing w:after="0"/>
    </w:pPr>
  </w:style>
  <w:style w:type="table" w:styleId="TableGrid">
    <w:name w:val="Table Grid"/>
    <w:basedOn w:val="TableNormal"/>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29307247">
      <w:bodyDiv w:val="1"/>
      <w:marLeft w:val="0"/>
      <w:marRight w:val="0"/>
      <w:marTop w:val="0"/>
      <w:marBottom w:val="0"/>
      <w:divBdr>
        <w:top w:val="none" w:sz="0" w:space="0" w:color="auto"/>
        <w:left w:val="none" w:sz="0" w:space="0" w:color="auto"/>
        <w:bottom w:val="none" w:sz="0" w:space="0" w:color="auto"/>
        <w:right w:val="none" w:sz="0" w:space="0" w:color="auto"/>
      </w:divBdr>
      <w:divsChild>
        <w:div w:id="1622031295">
          <w:marLeft w:val="0"/>
          <w:marRight w:val="0"/>
          <w:marTop w:val="0"/>
          <w:marBottom w:val="0"/>
          <w:divBdr>
            <w:top w:val="none" w:sz="0" w:space="0" w:color="auto"/>
            <w:left w:val="none" w:sz="0" w:space="0" w:color="auto"/>
            <w:bottom w:val="none" w:sz="0" w:space="0" w:color="auto"/>
            <w:right w:val="none" w:sz="0" w:space="0" w:color="auto"/>
          </w:divBdr>
        </w:div>
      </w:divsChild>
    </w:div>
    <w:div w:id="801537949">
      <w:bodyDiv w:val="1"/>
      <w:marLeft w:val="0"/>
      <w:marRight w:val="0"/>
      <w:marTop w:val="0"/>
      <w:marBottom w:val="0"/>
      <w:divBdr>
        <w:top w:val="none" w:sz="0" w:space="0" w:color="auto"/>
        <w:left w:val="none" w:sz="0" w:space="0" w:color="auto"/>
        <w:bottom w:val="none" w:sz="0" w:space="0" w:color="auto"/>
        <w:right w:val="none" w:sz="0" w:space="0" w:color="auto"/>
      </w:divBdr>
    </w:div>
    <w:div w:id="1078676820">
      <w:bodyDiv w:val="1"/>
      <w:marLeft w:val="0"/>
      <w:marRight w:val="0"/>
      <w:marTop w:val="0"/>
      <w:marBottom w:val="0"/>
      <w:divBdr>
        <w:top w:val="none" w:sz="0" w:space="0" w:color="auto"/>
        <w:left w:val="none" w:sz="0" w:space="0" w:color="auto"/>
        <w:bottom w:val="none" w:sz="0" w:space="0" w:color="auto"/>
        <w:right w:val="none" w:sz="0" w:space="0" w:color="auto"/>
      </w:divBdr>
      <w:divsChild>
        <w:div w:id="1903128879">
          <w:marLeft w:val="0"/>
          <w:marRight w:val="0"/>
          <w:marTop w:val="0"/>
          <w:marBottom w:val="0"/>
          <w:divBdr>
            <w:top w:val="none" w:sz="0" w:space="0" w:color="auto"/>
            <w:left w:val="none" w:sz="0" w:space="0" w:color="auto"/>
            <w:bottom w:val="none" w:sz="0" w:space="0" w:color="auto"/>
            <w:right w:val="none" w:sz="0" w:space="0" w:color="auto"/>
          </w:divBdr>
          <w:divsChild>
            <w:div w:id="25509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76264">
      <w:bodyDiv w:val="1"/>
      <w:marLeft w:val="0"/>
      <w:marRight w:val="0"/>
      <w:marTop w:val="0"/>
      <w:marBottom w:val="0"/>
      <w:divBdr>
        <w:top w:val="none" w:sz="0" w:space="0" w:color="auto"/>
        <w:left w:val="none" w:sz="0" w:space="0" w:color="auto"/>
        <w:bottom w:val="none" w:sz="0" w:space="0" w:color="auto"/>
        <w:right w:val="none" w:sz="0" w:space="0" w:color="auto"/>
      </w:divBdr>
      <w:divsChild>
        <w:div w:id="1327057640">
          <w:marLeft w:val="0"/>
          <w:marRight w:val="0"/>
          <w:marTop w:val="0"/>
          <w:marBottom w:val="0"/>
          <w:divBdr>
            <w:top w:val="none" w:sz="0" w:space="0" w:color="auto"/>
            <w:left w:val="none" w:sz="0" w:space="0" w:color="auto"/>
            <w:bottom w:val="none" w:sz="0" w:space="0" w:color="auto"/>
            <w:right w:val="none" w:sz="0" w:space="0" w:color="auto"/>
          </w:divBdr>
          <w:divsChild>
            <w:div w:id="24460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7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FB6DC-9C62-4D21-90B6-950562421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0</TotalTime>
  <Pages>7</Pages>
  <Words>1824</Words>
  <Characters>11015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2010-05-06T17:07:00Z</cp:lastPrinted>
  <dcterms:created xsi:type="dcterms:W3CDTF">2010-05-10T18:15:00Z</dcterms:created>
  <dcterms:modified xsi:type="dcterms:W3CDTF">2010-05-10T18:15:00Z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